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F66D1" w14:textId="77777777" w:rsidR="00103BE9" w:rsidRPr="00315925" w:rsidRDefault="00103BE9" w:rsidP="00103BE9">
      <w:pPr>
        <w:pStyle w:val="Header"/>
        <w:jc w:val="center"/>
      </w:pPr>
      <w:r w:rsidRPr="00315925">
        <w:rPr>
          <w:noProof/>
        </w:rPr>
        <w:drawing>
          <wp:inline distT="0" distB="0" distL="0" distR="0" wp14:anchorId="27EB5A9C" wp14:editId="0AFFD570">
            <wp:extent cx="1492250" cy="495300"/>
            <wp:effectExtent l="0" t="0" r="0" b="0"/>
            <wp:docPr id="5" name="Picture 5" descr="CSUDH-Logo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UDH-Logo-Email-Signatur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03C5" w14:textId="13ABD719" w:rsidR="00103BE9" w:rsidRDefault="00103BE9" w:rsidP="00103BE9">
      <w:pPr>
        <w:jc w:val="center"/>
        <w:outlineLvl w:val="0"/>
        <w:rPr>
          <w:sz w:val="24"/>
          <w:szCs w:val="24"/>
        </w:rPr>
      </w:pPr>
      <w:r w:rsidRPr="00315925">
        <w:rPr>
          <w:sz w:val="24"/>
          <w:szCs w:val="24"/>
        </w:rPr>
        <w:t xml:space="preserve">Academic Senate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1000 E. Victoria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 Carson, CA 90747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 WH-A420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 (310) 243-3312 </w:t>
      </w:r>
    </w:p>
    <w:p w14:paraId="76BEF3BB" w14:textId="77777777" w:rsidR="00037AC9" w:rsidRDefault="00037AC9" w:rsidP="002C7608">
      <w:pPr>
        <w:jc w:val="center"/>
        <w:rPr>
          <w:b/>
        </w:rPr>
      </w:pPr>
    </w:p>
    <w:p w14:paraId="1D776C56" w14:textId="224AA6A9" w:rsidR="00037AC9" w:rsidRDefault="00BE3E57" w:rsidP="002C7608">
      <w:pPr>
        <w:jc w:val="center"/>
        <w:rPr>
          <w:b/>
        </w:rPr>
      </w:pPr>
      <w:r>
        <w:rPr>
          <w:b/>
        </w:rPr>
        <w:t>EXEC 18-</w:t>
      </w:r>
      <w:r w:rsidR="00553C2B">
        <w:rPr>
          <w:b/>
        </w:rPr>
        <w:t>09</w:t>
      </w:r>
    </w:p>
    <w:p w14:paraId="08D1440F" w14:textId="4256F811" w:rsidR="00EF007F" w:rsidRDefault="00EF007F" w:rsidP="002C7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Sense of the Senate </w:t>
      </w:r>
      <w:r w:rsidR="002C7608" w:rsidRPr="002C7608">
        <w:rPr>
          <w:b/>
          <w:sz w:val="24"/>
          <w:szCs w:val="24"/>
        </w:rPr>
        <w:t xml:space="preserve">Resolution </w:t>
      </w:r>
      <w:r>
        <w:rPr>
          <w:b/>
          <w:sz w:val="24"/>
          <w:szCs w:val="24"/>
        </w:rPr>
        <w:t xml:space="preserve">in Support of a </w:t>
      </w:r>
    </w:p>
    <w:p w14:paraId="4E65EB45" w14:textId="7CFC69D5" w:rsidR="002C7608" w:rsidRDefault="00EF007F" w:rsidP="00103B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Chief Officer of Diversity, Equity &amp; Inclusion</w:t>
      </w:r>
    </w:p>
    <w:p w14:paraId="7A75020B" w14:textId="279EFA3F" w:rsidR="00674225" w:rsidRDefault="00674225" w:rsidP="00103B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Passed Unanimously 09/26/18</w:t>
      </w:r>
    </w:p>
    <w:p w14:paraId="75CBFE53" w14:textId="77777777" w:rsidR="00103BE9" w:rsidRDefault="00103BE9" w:rsidP="00103BE9">
      <w:pPr>
        <w:jc w:val="center"/>
        <w:rPr>
          <w:b/>
        </w:rPr>
      </w:pPr>
    </w:p>
    <w:p w14:paraId="51302F42" w14:textId="77777777" w:rsidR="00103BE9" w:rsidRDefault="00103BE9" w:rsidP="00EF007F">
      <w:pPr>
        <w:rPr>
          <w:b/>
        </w:rPr>
        <w:sectPr w:rsidR="00103BE9" w:rsidSect="00A557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FF984C" w14:textId="2DE8A5DF" w:rsidR="00EF007F" w:rsidRPr="00E068DB" w:rsidRDefault="00E93C29" w:rsidP="00EF007F">
      <w:pPr>
        <w:rPr>
          <w:sz w:val="24"/>
          <w:szCs w:val="24"/>
        </w:rPr>
      </w:pPr>
      <w:r w:rsidRPr="00E068DB">
        <w:rPr>
          <w:b/>
          <w:sz w:val="24"/>
          <w:szCs w:val="24"/>
        </w:rPr>
        <w:t xml:space="preserve">RESOLVED: </w:t>
      </w:r>
      <w:r w:rsidR="00EF007F" w:rsidRPr="00E068DB">
        <w:rPr>
          <w:sz w:val="24"/>
          <w:szCs w:val="24"/>
        </w:rPr>
        <w:t xml:space="preserve"> That the ASCSUDH supports </w:t>
      </w:r>
      <w:r w:rsidR="001319C7" w:rsidRPr="00E068DB">
        <w:rPr>
          <w:sz w:val="24"/>
          <w:szCs w:val="24"/>
        </w:rPr>
        <w:t>the</w:t>
      </w:r>
      <w:r w:rsidR="003D567E" w:rsidRPr="00E068DB">
        <w:rPr>
          <w:sz w:val="24"/>
          <w:szCs w:val="24"/>
        </w:rPr>
        <w:t xml:space="preserve"> recommend</w:t>
      </w:r>
      <w:bookmarkStart w:id="0" w:name="_GoBack"/>
      <w:bookmarkEnd w:id="0"/>
      <w:r w:rsidR="003D567E" w:rsidRPr="00E068DB">
        <w:rPr>
          <w:sz w:val="24"/>
          <w:szCs w:val="24"/>
        </w:rPr>
        <w:t>ation of the President’s Council on Diversity &amp; Inclusion for the</w:t>
      </w:r>
      <w:r w:rsidR="001319C7" w:rsidRPr="00E068DB">
        <w:rPr>
          <w:sz w:val="24"/>
          <w:szCs w:val="24"/>
        </w:rPr>
        <w:t xml:space="preserve"> </w:t>
      </w:r>
      <w:r w:rsidR="00EF007F" w:rsidRPr="00E068DB">
        <w:rPr>
          <w:sz w:val="24"/>
          <w:szCs w:val="24"/>
        </w:rPr>
        <w:t>creation of the Office of Diversity, Equity &amp; Inclusion</w:t>
      </w:r>
      <w:r w:rsidR="00FE7818" w:rsidRPr="00E068DB">
        <w:rPr>
          <w:sz w:val="24"/>
          <w:szCs w:val="24"/>
        </w:rPr>
        <w:t xml:space="preserve">; and be it further, </w:t>
      </w:r>
      <w:r w:rsidR="006D1D56" w:rsidRPr="00E068DB">
        <w:rPr>
          <w:sz w:val="24"/>
          <w:szCs w:val="24"/>
        </w:rPr>
        <w:t xml:space="preserve"> </w:t>
      </w:r>
    </w:p>
    <w:p w14:paraId="06827A79" w14:textId="77777777" w:rsidR="00EF007F" w:rsidRPr="00E068DB" w:rsidRDefault="00EF007F" w:rsidP="00EF007F">
      <w:pPr>
        <w:rPr>
          <w:b/>
          <w:sz w:val="24"/>
          <w:szCs w:val="24"/>
        </w:rPr>
      </w:pPr>
    </w:p>
    <w:p w14:paraId="56A125C9" w14:textId="613B3D20" w:rsidR="006D1D56" w:rsidRPr="00E068DB" w:rsidRDefault="001319C7" w:rsidP="00E6192E">
      <w:pPr>
        <w:rPr>
          <w:sz w:val="24"/>
          <w:szCs w:val="24"/>
        </w:rPr>
      </w:pPr>
      <w:r w:rsidRPr="00E068DB">
        <w:rPr>
          <w:b/>
          <w:sz w:val="24"/>
          <w:szCs w:val="24"/>
        </w:rPr>
        <w:t xml:space="preserve">RESOLVED: </w:t>
      </w:r>
      <w:r w:rsidR="006D1D56" w:rsidRPr="00E068DB">
        <w:rPr>
          <w:b/>
          <w:sz w:val="24"/>
          <w:szCs w:val="24"/>
        </w:rPr>
        <w:t xml:space="preserve"> </w:t>
      </w:r>
      <w:r w:rsidR="006D1D56" w:rsidRPr="00E068DB">
        <w:rPr>
          <w:sz w:val="24"/>
          <w:szCs w:val="24"/>
        </w:rPr>
        <w:t>That the ASCSUDH supports the</w:t>
      </w:r>
      <w:r w:rsidR="003D567E" w:rsidRPr="00E068DB">
        <w:rPr>
          <w:sz w:val="24"/>
          <w:szCs w:val="24"/>
        </w:rPr>
        <w:t xml:space="preserve"> recommendation of the President’s Council on Diversity &amp; Inclusion for the</w:t>
      </w:r>
      <w:r w:rsidR="006D1D56" w:rsidRPr="00E068DB">
        <w:rPr>
          <w:sz w:val="24"/>
          <w:szCs w:val="24"/>
        </w:rPr>
        <w:t xml:space="preserve"> hiring of a qualified Chief Officer of Diversity, Equity </w:t>
      </w:r>
      <w:r w:rsidR="00BF1AD3" w:rsidRPr="00E068DB">
        <w:rPr>
          <w:sz w:val="24"/>
          <w:szCs w:val="24"/>
        </w:rPr>
        <w:t>&amp;</w:t>
      </w:r>
      <w:r w:rsidR="006D1D56" w:rsidRPr="00E068DB">
        <w:rPr>
          <w:sz w:val="24"/>
          <w:szCs w:val="24"/>
        </w:rPr>
        <w:t xml:space="preserve"> Inclusion to le</w:t>
      </w:r>
      <w:r w:rsidR="0047419E" w:rsidRPr="00E068DB">
        <w:rPr>
          <w:sz w:val="24"/>
          <w:szCs w:val="24"/>
        </w:rPr>
        <w:t>a</w:t>
      </w:r>
      <w:r w:rsidR="006D1D56" w:rsidRPr="00E068DB">
        <w:rPr>
          <w:sz w:val="24"/>
          <w:szCs w:val="24"/>
        </w:rPr>
        <w:t xml:space="preserve">d the </w:t>
      </w:r>
      <w:r w:rsidR="00E6192E" w:rsidRPr="00E068DB">
        <w:rPr>
          <w:sz w:val="24"/>
          <w:szCs w:val="24"/>
        </w:rPr>
        <w:t>Office of Diversity, Equity &amp; Inclusion</w:t>
      </w:r>
      <w:r w:rsidR="00FE7818" w:rsidRPr="00E068DB">
        <w:rPr>
          <w:sz w:val="24"/>
          <w:szCs w:val="24"/>
        </w:rPr>
        <w:t>; and be it further,</w:t>
      </w:r>
    </w:p>
    <w:p w14:paraId="7BA47836" w14:textId="3F4968CF" w:rsidR="009F2926" w:rsidRPr="00E068DB" w:rsidRDefault="009F2926" w:rsidP="00E6192E">
      <w:pPr>
        <w:rPr>
          <w:sz w:val="24"/>
          <w:szCs w:val="24"/>
        </w:rPr>
      </w:pPr>
    </w:p>
    <w:p w14:paraId="1352D9BC" w14:textId="43CFD520" w:rsidR="009F2926" w:rsidRPr="00E068DB" w:rsidRDefault="009F2926" w:rsidP="009F2926">
      <w:pPr>
        <w:rPr>
          <w:sz w:val="24"/>
          <w:szCs w:val="24"/>
        </w:rPr>
      </w:pPr>
      <w:r w:rsidRPr="00E068DB">
        <w:rPr>
          <w:b/>
          <w:sz w:val="24"/>
          <w:szCs w:val="24"/>
        </w:rPr>
        <w:t xml:space="preserve">RESOLVED:  </w:t>
      </w:r>
      <w:r w:rsidRPr="00E068DB">
        <w:rPr>
          <w:sz w:val="24"/>
          <w:szCs w:val="24"/>
        </w:rPr>
        <w:t>That the ASCSUDH acknowledges and suppo</w:t>
      </w:r>
      <w:r w:rsidR="00553C2B" w:rsidRPr="00E068DB">
        <w:rPr>
          <w:sz w:val="24"/>
          <w:szCs w:val="24"/>
        </w:rPr>
        <w:t>rts the recommendations of the President’s C</w:t>
      </w:r>
      <w:r w:rsidRPr="00E068DB">
        <w:rPr>
          <w:sz w:val="24"/>
          <w:szCs w:val="24"/>
        </w:rPr>
        <w:t xml:space="preserve">ouncil </w:t>
      </w:r>
      <w:r w:rsidR="00553C2B" w:rsidRPr="00E068DB">
        <w:rPr>
          <w:sz w:val="24"/>
          <w:szCs w:val="24"/>
        </w:rPr>
        <w:t xml:space="preserve">that the Chief Officer and support staff work with the </w:t>
      </w:r>
      <w:r w:rsidR="00E068DB" w:rsidRPr="00E068DB">
        <w:rPr>
          <w:sz w:val="24"/>
          <w:szCs w:val="24"/>
        </w:rPr>
        <w:t>appropriate campus offices and representative bodies</w:t>
      </w:r>
      <w:r w:rsidR="00553C2B" w:rsidRPr="00E068DB">
        <w:rPr>
          <w:sz w:val="24"/>
          <w:szCs w:val="24"/>
        </w:rPr>
        <w:t xml:space="preserve"> </w:t>
      </w:r>
      <w:r w:rsidR="00E068DB" w:rsidRPr="00E068DB">
        <w:rPr>
          <w:sz w:val="24"/>
          <w:szCs w:val="24"/>
        </w:rPr>
        <w:t xml:space="preserve">to </w:t>
      </w:r>
      <w:r w:rsidRPr="00E068DB">
        <w:rPr>
          <w:sz w:val="24"/>
          <w:szCs w:val="24"/>
        </w:rPr>
        <w:t>address issues of diversity</w:t>
      </w:r>
      <w:r w:rsidRPr="00E068DB">
        <w:rPr>
          <w:rStyle w:val="FootnoteReference"/>
          <w:sz w:val="24"/>
          <w:szCs w:val="24"/>
        </w:rPr>
        <w:footnoteReference w:id="1"/>
      </w:r>
      <w:r w:rsidRPr="00E068DB">
        <w:rPr>
          <w:sz w:val="24"/>
          <w:szCs w:val="24"/>
        </w:rPr>
        <w:t>, equity, and inclusion</w:t>
      </w:r>
      <w:r w:rsidR="00E068DB" w:rsidRPr="00E068DB">
        <w:rPr>
          <w:sz w:val="24"/>
          <w:szCs w:val="24"/>
        </w:rPr>
        <w:t>, to uphold state and federal laws for protected classes,</w:t>
      </w:r>
      <w:r w:rsidR="00E068DB" w:rsidRPr="00E068DB">
        <w:rPr>
          <w:rStyle w:val="FootnoteReference"/>
          <w:sz w:val="24"/>
          <w:szCs w:val="24"/>
        </w:rPr>
        <w:footnoteReference w:id="2"/>
      </w:r>
      <w:r w:rsidR="00E068DB" w:rsidRPr="00E068DB">
        <w:rPr>
          <w:sz w:val="24"/>
          <w:szCs w:val="24"/>
        </w:rPr>
        <w:t xml:space="preserve"> and</w:t>
      </w:r>
      <w:r w:rsidRPr="00E068DB">
        <w:rPr>
          <w:sz w:val="24"/>
          <w:szCs w:val="24"/>
        </w:rPr>
        <w:t xml:space="preserve"> </w:t>
      </w:r>
      <w:r w:rsidR="00E068DB" w:rsidRPr="00E068DB">
        <w:rPr>
          <w:sz w:val="24"/>
          <w:szCs w:val="24"/>
        </w:rPr>
        <w:t>to</w:t>
      </w:r>
      <w:r w:rsidRPr="00E068DB">
        <w:rPr>
          <w:sz w:val="24"/>
          <w:szCs w:val="24"/>
        </w:rPr>
        <w:t xml:space="preserve"> </w:t>
      </w:r>
      <w:r w:rsidR="00553C2B" w:rsidRPr="00E068DB">
        <w:rPr>
          <w:sz w:val="24"/>
          <w:szCs w:val="24"/>
        </w:rPr>
        <w:t>provide the</w:t>
      </w:r>
      <w:r w:rsidRPr="00E068DB">
        <w:rPr>
          <w:sz w:val="24"/>
          <w:szCs w:val="24"/>
        </w:rPr>
        <w:t xml:space="preserve"> on-going support needed for CSUDH students, staff, faculty, and administrators.</w:t>
      </w:r>
    </w:p>
    <w:p w14:paraId="48318BB9" w14:textId="6721B613" w:rsidR="009F2926" w:rsidRDefault="009F2926" w:rsidP="009F2926">
      <w:pPr>
        <w:rPr>
          <w:sz w:val="24"/>
          <w:szCs w:val="24"/>
        </w:rPr>
      </w:pPr>
    </w:p>
    <w:p w14:paraId="153DB010" w14:textId="745BA793" w:rsidR="00E068DB" w:rsidRPr="006D2E85" w:rsidRDefault="006D2E85" w:rsidP="009F2926">
      <w:r w:rsidRPr="00E6005E">
        <w:rPr>
          <w:b/>
        </w:rPr>
        <w:t xml:space="preserve">RESOLVED: </w:t>
      </w:r>
      <w:r w:rsidRPr="00E6005E">
        <w:t xml:space="preserve">That the ASCSUDH distribute this resolution to the President, </w:t>
      </w:r>
      <w:r>
        <w:t>the Vice President of Student Affairs,</w:t>
      </w:r>
      <w:r w:rsidRPr="00E6005E">
        <w:t xml:space="preserve"> the Provost,</w:t>
      </w:r>
      <w:r>
        <w:t xml:space="preserve"> </w:t>
      </w:r>
      <w:r w:rsidRPr="00E6005E">
        <w:t>the Vice Provost,</w:t>
      </w:r>
      <w:r w:rsidR="00AE27D7">
        <w:t xml:space="preserve"> the Vice President of Administration and Finance,</w:t>
      </w:r>
      <w:r>
        <w:t xml:space="preserve"> the Vice President and CIO of t</w:t>
      </w:r>
      <w:r w:rsidRPr="00E6005E">
        <w:t xml:space="preserve">he Division of Information Technology, </w:t>
      </w:r>
      <w:r>
        <w:t xml:space="preserve">the </w:t>
      </w:r>
      <w:r w:rsidRPr="00E6005E">
        <w:t xml:space="preserve">Associate Vice President of Faculty Affairs and Development, </w:t>
      </w:r>
      <w:r>
        <w:t xml:space="preserve">Associate Vice President of </w:t>
      </w:r>
      <w:r w:rsidRPr="00E6005E">
        <w:t>Retention, University Academic Advisement &amp; Learnin</w:t>
      </w:r>
      <w:r w:rsidR="00C0459F">
        <w:t>g,</w:t>
      </w:r>
      <w:r>
        <w:t xml:space="preserve"> the Dean of Graduate Studies, the Dean of Undergraduate Studies, and the President of Associated Students Incorporated.</w:t>
      </w:r>
    </w:p>
    <w:p w14:paraId="7F3361D6" w14:textId="77777777" w:rsidR="006D1D56" w:rsidRPr="00E068DB" w:rsidRDefault="006D1D56" w:rsidP="00EF007F">
      <w:pPr>
        <w:rPr>
          <w:sz w:val="24"/>
          <w:szCs w:val="24"/>
        </w:rPr>
      </w:pPr>
    </w:p>
    <w:p w14:paraId="0CE18B62" w14:textId="77777777" w:rsidR="001173CC" w:rsidRPr="00E068DB" w:rsidRDefault="005D119D" w:rsidP="00E93C29">
      <w:pPr>
        <w:rPr>
          <w:sz w:val="24"/>
          <w:szCs w:val="24"/>
        </w:rPr>
      </w:pPr>
      <w:r w:rsidRPr="00E068DB">
        <w:rPr>
          <w:i/>
          <w:sz w:val="24"/>
          <w:szCs w:val="24"/>
        </w:rPr>
        <w:t>RATIONALE:</w:t>
      </w:r>
      <w:r w:rsidR="00E6005E" w:rsidRPr="00E068DB">
        <w:rPr>
          <w:sz w:val="24"/>
          <w:szCs w:val="24"/>
        </w:rPr>
        <w:t xml:space="preserve"> </w:t>
      </w:r>
    </w:p>
    <w:p w14:paraId="43ACE9DF" w14:textId="369B40DC" w:rsidR="00E93C29" w:rsidRPr="00E068DB" w:rsidRDefault="005D119D" w:rsidP="00E93C29">
      <w:pPr>
        <w:rPr>
          <w:i/>
          <w:sz w:val="24"/>
          <w:szCs w:val="24"/>
        </w:rPr>
      </w:pPr>
      <w:r w:rsidRPr="00E068DB">
        <w:rPr>
          <w:sz w:val="24"/>
          <w:szCs w:val="24"/>
        </w:rPr>
        <w:t xml:space="preserve">The </w:t>
      </w:r>
      <w:r w:rsidR="00EF007F" w:rsidRPr="00E068DB">
        <w:rPr>
          <w:sz w:val="24"/>
          <w:szCs w:val="24"/>
        </w:rPr>
        <w:t>President’s Council on Diversity &amp; Inclusion</w:t>
      </w:r>
      <w:r w:rsidR="00B93795" w:rsidRPr="00E068DB">
        <w:rPr>
          <w:sz w:val="24"/>
          <w:szCs w:val="24"/>
        </w:rPr>
        <w:t xml:space="preserve"> (PCDI)</w:t>
      </w:r>
      <w:r w:rsidR="00EF007F" w:rsidRPr="00E068DB">
        <w:rPr>
          <w:sz w:val="24"/>
          <w:szCs w:val="24"/>
        </w:rPr>
        <w:t xml:space="preserve"> after careful research into campus issues regarding diversity, equity, and inclusion </w:t>
      </w:r>
      <w:r w:rsidR="00B93795" w:rsidRPr="00E068DB">
        <w:rPr>
          <w:sz w:val="24"/>
          <w:szCs w:val="24"/>
        </w:rPr>
        <w:t xml:space="preserve">recommended the hiring of a Chief Officer of Diversity, Equity, </w:t>
      </w:r>
      <w:r w:rsidR="00BF1AD3" w:rsidRPr="00E068DB">
        <w:rPr>
          <w:sz w:val="24"/>
          <w:szCs w:val="24"/>
        </w:rPr>
        <w:t xml:space="preserve">&amp; </w:t>
      </w:r>
      <w:r w:rsidR="00B93795" w:rsidRPr="00E068DB">
        <w:rPr>
          <w:sz w:val="24"/>
          <w:szCs w:val="24"/>
        </w:rPr>
        <w:t>Inclusion with</w:t>
      </w:r>
      <w:r w:rsidR="00553C2B" w:rsidRPr="00E068DB">
        <w:rPr>
          <w:sz w:val="24"/>
          <w:szCs w:val="24"/>
        </w:rPr>
        <w:t xml:space="preserve"> an office </w:t>
      </w:r>
      <w:r w:rsidR="00D530EF" w:rsidRPr="00E068DB">
        <w:rPr>
          <w:sz w:val="24"/>
          <w:szCs w:val="24"/>
        </w:rPr>
        <w:t xml:space="preserve">and allocated </w:t>
      </w:r>
      <w:r w:rsidR="00553C2B" w:rsidRPr="00E068DB">
        <w:rPr>
          <w:sz w:val="24"/>
          <w:szCs w:val="24"/>
        </w:rPr>
        <w:t>support staff</w:t>
      </w:r>
      <w:r w:rsidR="00D530EF" w:rsidRPr="00E068DB">
        <w:rPr>
          <w:sz w:val="24"/>
          <w:szCs w:val="24"/>
        </w:rPr>
        <w:t xml:space="preserve">. </w:t>
      </w:r>
    </w:p>
    <w:sectPr w:rsidR="00E93C29" w:rsidRPr="00E068DB" w:rsidSect="00A557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9293C" w14:textId="77777777" w:rsidR="00A808D4" w:rsidRDefault="00A808D4" w:rsidP="009F2926">
      <w:pPr>
        <w:spacing w:line="240" w:lineRule="auto"/>
      </w:pPr>
      <w:r>
        <w:separator/>
      </w:r>
    </w:p>
  </w:endnote>
  <w:endnote w:type="continuationSeparator" w:id="0">
    <w:p w14:paraId="659E2F8F" w14:textId="77777777" w:rsidR="00A808D4" w:rsidRDefault="00A808D4" w:rsidP="009F2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EEF5A" w14:textId="77777777" w:rsidR="00A808D4" w:rsidRDefault="00A808D4" w:rsidP="009F2926">
      <w:pPr>
        <w:spacing w:line="240" w:lineRule="auto"/>
      </w:pPr>
      <w:r>
        <w:separator/>
      </w:r>
    </w:p>
  </w:footnote>
  <w:footnote w:type="continuationSeparator" w:id="0">
    <w:p w14:paraId="6642F1D2" w14:textId="77777777" w:rsidR="00A808D4" w:rsidRDefault="00A808D4" w:rsidP="009F2926">
      <w:pPr>
        <w:spacing w:line="240" w:lineRule="auto"/>
      </w:pPr>
      <w:r>
        <w:continuationSeparator/>
      </w:r>
    </w:p>
  </w:footnote>
  <w:footnote w:id="1">
    <w:p w14:paraId="3A805C46" w14:textId="7702942A" w:rsidR="009F2926" w:rsidRPr="00E068DB" w:rsidRDefault="009F2926" w:rsidP="009F2926">
      <w:pPr>
        <w:rPr>
          <w:sz w:val="20"/>
          <w:szCs w:val="20"/>
        </w:rPr>
      </w:pPr>
      <w:r>
        <w:rPr>
          <w:rStyle w:val="FootnoteReference"/>
        </w:rPr>
        <w:footnoteRef/>
      </w:r>
      <w:r w:rsidR="00EE3662" w:rsidRPr="00E068DB">
        <w:rPr>
          <w:sz w:val="20"/>
          <w:szCs w:val="20"/>
        </w:rPr>
        <w:t xml:space="preserve"> </w:t>
      </w:r>
      <w:r w:rsidRPr="00E068DB">
        <w:rPr>
          <w:bCs/>
          <w:sz w:val="20"/>
          <w:szCs w:val="20"/>
        </w:rPr>
        <w:t>In collaboration with the appropriate stakeholders, the Office of Diversit</w:t>
      </w:r>
      <w:r w:rsidR="00EE3662" w:rsidRPr="00E068DB">
        <w:rPr>
          <w:bCs/>
          <w:sz w:val="20"/>
          <w:szCs w:val="20"/>
        </w:rPr>
        <w:t xml:space="preserve">y, Equity &amp; Inclusion embraces </w:t>
      </w:r>
      <w:r w:rsidRPr="00E068DB">
        <w:rPr>
          <w:bCs/>
          <w:sz w:val="20"/>
          <w:szCs w:val="20"/>
        </w:rPr>
        <w:t xml:space="preserve">CSUDH’s inclusive, evolving definition of diversity that includes but is not limited to race, ethnicity, gender identity, sexual orientation, age, disability status, religious and spiritual identity, </w:t>
      </w:r>
      <w:r w:rsidR="00AE27D7">
        <w:rPr>
          <w:bCs/>
          <w:sz w:val="20"/>
          <w:szCs w:val="20"/>
        </w:rPr>
        <w:t xml:space="preserve">military or veteran status, </w:t>
      </w:r>
      <w:r w:rsidRPr="00E068DB">
        <w:rPr>
          <w:bCs/>
          <w:sz w:val="20"/>
          <w:szCs w:val="20"/>
        </w:rPr>
        <w:t xml:space="preserve">nationality, physical and mental ability, social and economic status, and political and ideological perspectives. </w:t>
      </w:r>
    </w:p>
    <w:p w14:paraId="4F862143" w14:textId="70F19076" w:rsidR="009F2926" w:rsidRPr="00E068DB" w:rsidRDefault="009F2926">
      <w:pPr>
        <w:pStyle w:val="FootnoteText"/>
      </w:pPr>
    </w:p>
  </w:footnote>
  <w:footnote w:id="2">
    <w:p w14:paraId="1730056B" w14:textId="6DAD66F5" w:rsidR="00E068DB" w:rsidRPr="00E068DB" w:rsidRDefault="00E068DB" w:rsidP="00E068DB">
      <w:pPr>
        <w:shd w:val="clear" w:color="auto" w:fill="FFFFFF"/>
        <w:spacing w:after="120"/>
        <w:rPr>
          <w:color w:val="272727"/>
          <w:sz w:val="20"/>
          <w:szCs w:val="20"/>
        </w:rPr>
      </w:pPr>
      <w:r w:rsidRPr="00E068DB">
        <w:rPr>
          <w:rStyle w:val="FootnoteReference"/>
          <w:sz w:val="20"/>
          <w:szCs w:val="20"/>
        </w:rPr>
        <w:footnoteRef/>
      </w:r>
      <w:r w:rsidRPr="00E068DB">
        <w:rPr>
          <w:sz w:val="20"/>
          <w:szCs w:val="20"/>
        </w:rPr>
        <w:t xml:space="preserve"> </w:t>
      </w:r>
      <w:r w:rsidRPr="00E068DB">
        <w:rPr>
          <w:color w:val="272727"/>
          <w:sz w:val="20"/>
          <w:szCs w:val="20"/>
        </w:rPr>
        <w:t xml:space="preserve">In all 50 states, federal law makes it illegal to discriminate based on: </w:t>
      </w:r>
      <w:r w:rsidRPr="00E068DB">
        <w:rPr>
          <w:rFonts w:eastAsia="Times New Roman"/>
          <w:color w:val="272727"/>
          <w:sz w:val="20"/>
          <w:szCs w:val="20"/>
        </w:rPr>
        <w:t>race</w:t>
      </w:r>
      <w:r w:rsidRPr="00E068DB">
        <w:rPr>
          <w:color w:val="272727"/>
          <w:sz w:val="20"/>
          <w:szCs w:val="20"/>
        </w:rPr>
        <w:t xml:space="preserve">, </w:t>
      </w:r>
      <w:r w:rsidRPr="00E068DB">
        <w:rPr>
          <w:rFonts w:eastAsia="Times New Roman"/>
          <w:color w:val="272727"/>
          <w:sz w:val="20"/>
          <w:szCs w:val="20"/>
        </w:rPr>
        <w:t>color</w:t>
      </w:r>
      <w:r w:rsidRPr="00E068DB">
        <w:rPr>
          <w:color w:val="272727"/>
          <w:sz w:val="20"/>
          <w:szCs w:val="20"/>
        </w:rPr>
        <w:t xml:space="preserve">, </w:t>
      </w:r>
      <w:r w:rsidRPr="00E068DB">
        <w:rPr>
          <w:rFonts w:eastAsia="Times New Roman"/>
          <w:color w:val="272727"/>
          <w:sz w:val="20"/>
          <w:szCs w:val="20"/>
        </w:rPr>
        <w:t>national origin</w:t>
      </w:r>
      <w:r w:rsidRPr="00E068DB">
        <w:rPr>
          <w:color w:val="272727"/>
          <w:sz w:val="20"/>
          <w:szCs w:val="20"/>
        </w:rPr>
        <w:t xml:space="preserve">, </w:t>
      </w:r>
      <w:r w:rsidRPr="00E068DB">
        <w:rPr>
          <w:rFonts w:eastAsia="Times New Roman"/>
          <w:color w:val="272727"/>
          <w:sz w:val="20"/>
          <w:szCs w:val="20"/>
        </w:rPr>
        <w:t>religion</w:t>
      </w:r>
      <w:r w:rsidRPr="00E068DB">
        <w:rPr>
          <w:color w:val="272727"/>
          <w:sz w:val="20"/>
          <w:szCs w:val="20"/>
        </w:rPr>
        <w:t xml:space="preserve">, </w:t>
      </w:r>
      <w:r w:rsidRPr="00E068DB">
        <w:rPr>
          <w:rFonts w:eastAsia="Times New Roman"/>
          <w:color w:val="272727"/>
          <w:sz w:val="20"/>
          <w:szCs w:val="20"/>
        </w:rPr>
        <w:t>sex (including pregnancy, childbirth, and related medical conditions), disability</w:t>
      </w:r>
      <w:r w:rsidRPr="00E068DB">
        <w:rPr>
          <w:color w:val="272727"/>
          <w:sz w:val="20"/>
          <w:szCs w:val="20"/>
        </w:rPr>
        <w:t xml:space="preserve">, </w:t>
      </w:r>
      <w:r w:rsidRPr="00E068DB">
        <w:rPr>
          <w:rFonts w:eastAsia="Times New Roman"/>
          <w:color w:val="272727"/>
          <w:sz w:val="20"/>
          <w:szCs w:val="20"/>
        </w:rPr>
        <w:t>age (40 and older)</w:t>
      </w:r>
      <w:r w:rsidRPr="00E068DB">
        <w:rPr>
          <w:color w:val="272727"/>
          <w:sz w:val="20"/>
          <w:szCs w:val="20"/>
        </w:rPr>
        <w:t xml:space="preserve">, </w:t>
      </w:r>
      <w:r w:rsidRPr="00E068DB">
        <w:rPr>
          <w:rFonts w:eastAsia="Times New Roman"/>
          <w:color w:val="272727"/>
          <w:sz w:val="20"/>
          <w:szCs w:val="20"/>
        </w:rPr>
        <w:t>citizenship status, and</w:t>
      </w:r>
      <w:r w:rsidRPr="00E068DB">
        <w:rPr>
          <w:color w:val="272727"/>
          <w:sz w:val="20"/>
          <w:szCs w:val="20"/>
        </w:rPr>
        <w:t xml:space="preserve">, </w:t>
      </w:r>
      <w:r w:rsidRPr="00E068DB">
        <w:rPr>
          <w:rFonts w:eastAsia="Times New Roman"/>
          <w:color w:val="272727"/>
          <w:sz w:val="20"/>
          <w:szCs w:val="20"/>
        </w:rPr>
        <w:t>genetic information.</w:t>
      </w:r>
      <w:r w:rsidRPr="00E068DB">
        <w:rPr>
          <w:color w:val="272727"/>
          <w:sz w:val="20"/>
          <w:szCs w:val="20"/>
        </w:rPr>
        <w:t xml:space="preserve"> In addition, California state law also prohibits discrimination based on: </w:t>
      </w:r>
      <w:r w:rsidRPr="00E068DB">
        <w:rPr>
          <w:rFonts w:eastAsia="Times New Roman"/>
          <w:color w:val="272727"/>
          <w:sz w:val="20"/>
          <w:szCs w:val="20"/>
        </w:rPr>
        <w:t>race</w:t>
      </w:r>
      <w:r w:rsidRPr="00E068DB">
        <w:rPr>
          <w:color w:val="272727"/>
          <w:sz w:val="20"/>
          <w:szCs w:val="20"/>
        </w:rPr>
        <w:t xml:space="preserve">, </w:t>
      </w:r>
      <w:r w:rsidRPr="00E068DB">
        <w:rPr>
          <w:rFonts w:eastAsia="Times New Roman"/>
          <w:color w:val="272727"/>
          <w:sz w:val="20"/>
          <w:szCs w:val="20"/>
        </w:rPr>
        <w:t>color,</w:t>
      </w:r>
      <w:r w:rsidRPr="00E068DB">
        <w:rPr>
          <w:color w:val="272727"/>
          <w:sz w:val="20"/>
          <w:szCs w:val="20"/>
        </w:rPr>
        <w:t xml:space="preserve"> </w:t>
      </w:r>
      <w:r w:rsidRPr="00E068DB">
        <w:rPr>
          <w:rFonts w:eastAsia="Times New Roman"/>
          <w:color w:val="272727"/>
          <w:sz w:val="20"/>
          <w:szCs w:val="20"/>
        </w:rPr>
        <w:t>ancestry, national origin, religion, sex (including pregnancy, childbirth, and related medical conditions), disability: Physical or mental, age (40 and older),</w:t>
      </w:r>
      <w:r w:rsidRPr="00E068DB">
        <w:rPr>
          <w:color w:val="272727"/>
          <w:sz w:val="20"/>
          <w:szCs w:val="20"/>
        </w:rPr>
        <w:t xml:space="preserve"> </w:t>
      </w:r>
      <w:r w:rsidRPr="00E068DB">
        <w:rPr>
          <w:rFonts w:eastAsia="Times New Roman"/>
          <w:color w:val="272727"/>
          <w:sz w:val="20"/>
          <w:szCs w:val="20"/>
        </w:rPr>
        <w:t>genetic information, marital status, sexual orientation, gender identity and gender expression</w:t>
      </w:r>
      <w:r w:rsidRPr="00E068DB">
        <w:rPr>
          <w:color w:val="272727"/>
          <w:sz w:val="20"/>
          <w:szCs w:val="20"/>
        </w:rPr>
        <w:t xml:space="preserve">, </w:t>
      </w:r>
      <w:r w:rsidRPr="00E068DB">
        <w:rPr>
          <w:rFonts w:eastAsia="Times New Roman"/>
          <w:color w:val="272727"/>
          <w:sz w:val="20"/>
          <w:szCs w:val="20"/>
        </w:rPr>
        <w:t>AIDS/HIV, medical condition, political activities or affiliations, military or veteran status, and</w:t>
      </w:r>
      <w:r w:rsidRPr="00E068DB">
        <w:rPr>
          <w:color w:val="272727"/>
          <w:sz w:val="20"/>
          <w:szCs w:val="20"/>
        </w:rPr>
        <w:t xml:space="preserve"> </w:t>
      </w:r>
      <w:r w:rsidRPr="00E068DB">
        <w:rPr>
          <w:rFonts w:eastAsia="Times New Roman"/>
          <w:color w:val="272727"/>
          <w:sz w:val="20"/>
          <w:szCs w:val="20"/>
        </w:rPr>
        <w:t>status as a victim of domestic violence, assault, or stalking.</w:t>
      </w:r>
      <w:r w:rsidRPr="00E068DB">
        <w:rPr>
          <w:color w:val="272727"/>
          <w:sz w:val="20"/>
          <w:szCs w:val="20"/>
        </w:rPr>
        <w:t xml:space="preserve"> Several cities in the U.S. have their own laws protecting additional characteristics or extending protection to more employees. For example, height and weight are protected classes in San Francisco.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FBB"/>
    <w:multiLevelType w:val="multilevel"/>
    <w:tmpl w:val="71C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71AF1"/>
    <w:multiLevelType w:val="hybridMultilevel"/>
    <w:tmpl w:val="92B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0D63"/>
    <w:multiLevelType w:val="multilevel"/>
    <w:tmpl w:val="774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87"/>
    <w:rsid w:val="00037AC9"/>
    <w:rsid w:val="00103BE9"/>
    <w:rsid w:val="001173CC"/>
    <w:rsid w:val="001266CC"/>
    <w:rsid w:val="001319C7"/>
    <w:rsid w:val="00160AA8"/>
    <w:rsid w:val="00270A95"/>
    <w:rsid w:val="00280D31"/>
    <w:rsid w:val="002C7608"/>
    <w:rsid w:val="002F008B"/>
    <w:rsid w:val="00333F67"/>
    <w:rsid w:val="003372BD"/>
    <w:rsid w:val="00384024"/>
    <w:rsid w:val="003C3B9D"/>
    <w:rsid w:val="003D567E"/>
    <w:rsid w:val="00444B44"/>
    <w:rsid w:val="0047132A"/>
    <w:rsid w:val="0047419E"/>
    <w:rsid w:val="00481809"/>
    <w:rsid w:val="004D4093"/>
    <w:rsid w:val="005056C6"/>
    <w:rsid w:val="00553C2B"/>
    <w:rsid w:val="005672DE"/>
    <w:rsid w:val="005721F4"/>
    <w:rsid w:val="005A1587"/>
    <w:rsid w:val="005D119D"/>
    <w:rsid w:val="00674225"/>
    <w:rsid w:val="006D1D56"/>
    <w:rsid w:val="006D2E85"/>
    <w:rsid w:val="00735529"/>
    <w:rsid w:val="00825099"/>
    <w:rsid w:val="00874BE6"/>
    <w:rsid w:val="00896CA2"/>
    <w:rsid w:val="00916387"/>
    <w:rsid w:val="00934854"/>
    <w:rsid w:val="00945646"/>
    <w:rsid w:val="00947AA0"/>
    <w:rsid w:val="009B58AD"/>
    <w:rsid w:val="009D631F"/>
    <w:rsid w:val="009E2874"/>
    <w:rsid w:val="009F2926"/>
    <w:rsid w:val="00A55771"/>
    <w:rsid w:val="00A57D4E"/>
    <w:rsid w:val="00A64421"/>
    <w:rsid w:val="00A800CB"/>
    <w:rsid w:val="00A808D4"/>
    <w:rsid w:val="00AC7B39"/>
    <w:rsid w:val="00AE27D7"/>
    <w:rsid w:val="00B93795"/>
    <w:rsid w:val="00BE3E57"/>
    <w:rsid w:val="00BF1AD3"/>
    <w:rsid w:val="00C0459F"/>
    <w:rsid w:val="00C079F7"/>
    <w:rsid w:val="00C47C5C"/>
    <w:rsid w:val="00C77233"/>
    <w:rsid w:val="00D530EF"/>
    <w:rsid w:val="00D63211"/>
    <w:rsid w:val="00D722E1"/>
    <w:rsid w:val="00DA2676"/>
    <w:rsid w:val="00E068DB"/>
    <w:rsid w:val="00E47BAC"/>
    <w:rsid w:val="00E6005E"/>
    <w:rsid w:val="00E6192E"/>
    <w:rsid w:val="00E6415F"/>
    <w:rsid w:val="00E671F5"/>
    <w:rsid w:val="00E93C29"/>
    <w:rsid w:val="00EE3662"/>
    <w:rsid w:val="00EF007F"/>
    <w:rsid w:val="00F01A52"/>
    <w:rsid w:val="00F62339"/>
    <w:rsid w:val="00F974C6"/>
    <w:rsid w:val="00FE031A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72F38"/>
  <w15:docId w15:val="{813B7B4D-E2F6-47BB-A93F-22B1AA37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005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71F5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71F5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005E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E2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D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92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03BE9"/>
  </w:style>
  <w:style w:type="paragraph" w:styleId="FootnoteText">
    <w:name w:val="footnote text"/>
    <w:basedOn w:val="Normal"/>
    <w:link w:val="FootnoteTextChar"/>
    <w:uiPriority w:val="99"/>
    <w:semiHidden/>
    <w:unhideWhenUsed/>
    <w:rsid w:val="009F292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9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11.png@01D3C2A8.E66773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lamante\Documents\Talamante\Cover%20Memos\Cover%20Letter%20Template_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BFDC-DF23-451C-82F1-D6908E08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Template_LT.dotx</Template>
  <TotalTime>1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Talamante</dc:creator>
  <cp:keywords/>
  <dc:description/>
  <cp:lastModifiedBy>Susanne Walker</cp:lastModifiedBy>
  <cp:revision>2</cp:revision>
  <cp:lastPrinted>2018-10-11T18:42:00Z</cp:lastPrinted>
  <dcterms:created xsi:type="dcterms:W3CDTF">2018-10-11T18:43:00Z</dcterms:created>
  <dcterms:modified xsi:type="dcterms:W3CDTF">2018-10-11T18:43:00Z</dcterms:modified>
</cp:coreProperties>
</file>