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DB" w:rsidRDefault="005178DB" w:rsidP="005178DB">
      <w:pPr>
        <w:pStyle w:val="Header"/>
        <w:jc w:val="center"/>
      </w:pPr>
      <w:r>
        <w:rPr>
          <w:noProof/>
        </w:rPr>
        <w:drawing>
          <wp:inline distT="0" distB="0" distL="0" distR="0" wp14:anchorId="4D66A59C" wp14:editId="75EC3D7E">
            <wp:extent cx="2001328" cy="374135"/>
            <wp:effectExtent l="0" t="0" r="0" b="6985"/>
            <wp:docPr id="5" name="Picture 5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19" cy="3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DB" w:rsidRPr="00542BBE" w:rsidRDefault="005178DB" w:rsidP="005178DB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5178DB" w:rsidRDefault="005178DB" w:rsidP="005178DB">
      <w:pPr>
        <w:jc w:val="center"/>
        <w:rPr>
          <w:rFonts w:asciiTheme="minorHAnsi" w:hAnsiTheme="minorHAnsi"/>
          <w:b/>
          <w:color w:val="1D1D1D"/>
          <w:lang w:val="en"/>
        </w:rPr>
      </w:pPr>
      <w:r>
        <w:rPr>
          <w:rFonts w:asciiTheme="minorHAnsi" w:hAnsiTheme="minorHAnsi"/>
          <w:b/>
          <w:color w:val="1D1D1D"/>
          <w:lang w:val="en"/>
        </w:rPr>
        <w:t>Academic Senate Resolution</w:t>
      </w:r>
    </w:p>
    <w:p w:rsidR="005178DB" w:rsidRDefault="005178DB" w:rsidP="005178DB">
      <w:pPr>
        <w:jc w:val="center"/>
        <w:rPr>
          <w:rFonts w:asciiTheme="minorHAnsi" w:hAnsiTheme="minorHAnsi"/>
          <w:b/>
          <w:color w:val="1D1D1D"/>
          <w:lang w:val="en"/>
        </w:rPr>
      </w:pPr>
      <w:r>
        <w:rPr>
          <w:rFonts w:asciiTheme="minorHAnsi" w:hAnsiTheme="minorHAnsi"/>
          <w:b/>
          <w:color w:val="1D1D1D"/>
          <w:lang w:val="en"/>
        </w:rPr>
        <w:t>EXEC 15-12</w:t>
      </w:r>
    </w:p>
    <w:p w:rsidR="005178DB" w:rsidRPr="00C33FAD" w:rsidRDefault="005178DB" w:rsidP="005178DB">
      <w:pPr>
        <w:jc w:val="center"/>
        <w:rPr>
          <w:rFonts w:asciiTheme="minorHAnsi" w:hAnsiTheme="minorHAnsi"/>
          <w:b/>
          <w:color w:val="1D1D1D"/>
          <w:lang w:val="en"/>
        </w:rPr>
      </w:pPr>
      <w:r w:rsidRPr="00C33FAD">
        <w:rPr>
          <w:rFonts w:asciiTheme="minorHAnsi" w:hAnsiTheme="minorHAnsi"/>
          <w:b/>
          <w:color w:val="1D1D1D"/>
          <w:lang w:val="en"/>
        </w:rPr>
        <w:t xml:space="preserve">RESOLUTION TO AMEND THE BY-LAWS OF THE ASCSUDH </w:t>
      </w:r>
    </w:p>
    <w:p w:rsidR="005178DB" w:rsidRPr="00C33FAD" w:rsidRDefault="005178DB" w:rsidP="005178DB">
      <w:pPr>
        <w:jc w:val="center"/>
        <w:rPr>
          <w:rFonts w:asciiTheme="minorHAnsi" w:hAnsiTheme="minorHAnsi"/>
          <w:color w:val="1D1D1D"/>
          <w:lang w:val="en"/>
        </w:rPr>
      </w:pPr>
      <w:r w:rsidRPr="00C33FAD">
        <w:rPr>
          <w:rFonts w:asciiTheme="minorHAnsi" w:hAnsiTheme="minorHAnsi"/>
          <w:b/>
          <w:color w:val="1D1D1D"/>
          <w:lang w:val="en"/>
        </w:rPr>
        <w:t>ESTABLISHING GENERAL EDUCATION COMMITTEE AND UNIVERSITY CURRICULUM COMMITTEE AS STANDING COMMITTEES</w:t>
      </w:r>
      <w:r w:rsidRPr="00C33FAD">
        <w:rPr>
          <w:rStyle w:val="FootnoteReference"/>
          <w:rFonts w:asciiTheme="minorHAnsi" w:hAnsiTheme="minorHAnsi"/>
          <w:color w:val="1D1D1D"/>
          <w:lang w:val="en"/>
        </w:rPr>
        <w:footnoteReference w:id="1"/>
      </w:r>
    </w:p>
    <w:p w:rsidR="005178DB" w:rsidRPr="00C33FAD" w:rsidRDefault="005178DB" w:rsidP="005178DB">
      <w:pPr>
        <w:jc w:val="center"/>
        <w:rPr>
          <w:rFonts w:asciiTheme="minorHAnsi" w:hAnsiTheme="minorHAnsi"/>
          <w:color w:val="1D1D1D"/>
          <w:lang w:val="en"/>
        </w:rPr>
      </w:pPr>
    </w:p>
    <w:p w:rsidR="005178DB" w:rsidRPr="00C33FAD" w:rsidRDefault="005178DB" w:rsidP="005178DB">
      <w:pPr>
        <w:rPr>
          <w:rFonts w:asciiTheme="minorHAnsi" w:hAnsiTheme="minorHAnsi"/>
          <w:b/>
          <w:caps/>
          <w:color w:val="1D1D1D"/>
          <w:lang w:val="en"/>
        </w:rPr>
      </w:pPr>
      <w:r w:rsidRPr="00C33FAD">
        <w:rPr>
          <w:rFonts w:asciiTheme="minorHAnsi" w:hAnsiTheme="minorHAnsi"/>
          <w:caps/>
          <w:color w:val="1D1D1D"/>
          <w:lang w:val="en"/>
        </w:rPr>
        <w:t>III</w:t>
      </w:r>
      <w:r w:rsidRPr="00C33FAD">
        <w:rPr>
          <w:rFonts w:asciiTheme="minorHAnsi" w:hAnsiTheme="minorHAnsi"/>
          <w:b/>
          <w:caps/>
          <w:color w:val="1D1D1D"/>
          <w:lang w:val="en"/>
        </w:rPr>
        <w:t xml:space="preserve"> </w:t>
      </w:r>
      <w:r w:rsidRPr="00C33FAD">
        <w:rPr>
          <w:rStyle w:val="Strong"/>
          <w:rFonts w:asciiTheme="minorHAnsi" w:hAnsiTheme="minorHAnsi"/>
          <w:caps/>
          <w:color w:val="1D1D1D"/>
          <w:lang w:val="en"/>
        </w:rPr>
        <w:t>Organization of the Academic Senate</w:t>
      </w:r>
    </w:p>
    <w:p w:rsidR="005178DB" w:rsidRPr="00C33FAD" w:rsidRDefault="005178DB" w:rsidP="005178DB">
      <w:pPr>
        <w:rPr>
          <w:rFonts w:asciiTheme="minorHAnsi" w:hAnsiTheme="minorHAnsi"/>
          <w:color w:val="1D1D1D"/>
          <w:lang w:val="en"/>
        </w:rPr>
      </w:pPr>
      <w:r w:rsidRPr="00C33FAD">
        <w:rPr>
          <w:rFonts w:asciiTheme="minorHAnsi" w:hAnsiTheme="minorHAnsi"/>
          <w:color w:val="1D1D1D"/>
          <w:lang w:val="en"/>
        </w:rPr>
        <w:t xml:space="preserve">B: The Vice Chairperson, Secretary, Parliamentarian, and Chairs of the </w:t>
      </w:r>
      <w:r w:rsidRPr="00C33FAD">
        <w:rPr>
          <w:rFonts w:asciiTheme="minorHAnsi" w:hAnsiTheme="minorHAnsi"/>
          <w:strike/>
          <w:color w:val="1D1D1D"/>
          <w:lang w:val="en"/>
        </w:rPr>
        <w:t>standing committees</w:t>
      </w:r>
      <w:r w:rsidRPr="00C33FAD">
        <w:rPr>
          <w:rFonts w:asciiTheme="minorHAnsi" w:hAnsiTheme="minorHAnsi"/>
          <w:color w:val="1D1D1D"/>
          <w:lang w:val="en"/>
        </w:rPr>
        <w:t xml:space="preserve"> </w:t>
      </w:r>
      <w:r w:rsidRPr="00C33FAD">
        <w:rPr>
          <w:rFonts w:asciiTheme="minorHAnsi" w:hAnsiTheme="minorHAnsi"/>
          <w:b/>
          <w:color w:val="1D1D1D"/>
          <w:lang w:val="en"/>
        </w:rPr>
        <w:t>Faculty Policy Committee and the Educational Policy Committee</w:t>
      </w:r>
      <w:r w:rsidRPr="00C33FAD">
        <w:rPr>
          <w:rFonts w:asciiTheme="minorHAnsi" w:hAnsiTheme="minorHAnsi"/>
          <w:color w:val="1D1D1D"/>
          <w:lang w:val="en"/>
        </w:rPr>
        <w:t xml:space="preserve"> of the Academic Senate shall be elected upon recommendation of the incoming Chairperson at the last regular meeting of the spring semester</w:t>
      </w:r>
      <w:r w:rsidRPr="00C33FAD">
        <w:rPr>
          <w:rFonts w:asciiTheme="minorHAnsi" w:hAnsiTheme="minorHAnsi"/>
          <w:b/>
          <w:color w:val="1D1D1D"/>
          <w:lang w:val="en"/>
        </w:rPr>
        <w:t>. The chairs of the General Education Committee and the University Curriculum Committee will be elected by those committees’ members.</w:t>
      </w:r>
      <w:r w:rsidRPr="00C33FAD">
        <w:rPr>
          <w:rFonts w:asciiTheme="minorHAnsi" w:hAnsiTheme="minorHAnsi"/>
          <w:color w:val="1D1D1D"/>
          <w:lang w:val="en"/>
        </w:rPr>
        <w:t xml:space="preserve"> The retiring officers will serve until the election of their successors.</w:t>
      </w:r>
    </w:p>
    <w:p w:rsidR="005178DB" w:rsidRPr="00C33FAD" w:rsidRDefault="005178DB" w:rsidP="005178DB">
      <w:pPr>
        <w:rPr>
          <w:rFonts w:asciiTheme="minorHAnsi" w:hAnsiTheme="minorHAnsi"/>
          <w:b/>
          <w:caps/>
          <w:color w:val="1D1D1D"/>
          <w:lang w:val="en"/>
        </w:rPr>
      </w:pPr>
      <w:r w:rsidRPr="00C33FAD">
        <w:rPr>
          <w:rFonts w:asciiTheme="minorHAnsi" w:hAnsiTheme="minorHAnsi"/>
          <w:b/>
          <w:caps/>
          <w:color w:val="1D1D1D"/>
          <w:lang w:val="en"/>
        </w:rPr>
        <w:t>V  Committees of the General Faculty and of the Academic Senate</w:t>
      </w:r>
    </w:p>
    <w:p w:rsidR="005178DB" w:rsidRPr="00C33FAD" w:rsidRDefault="005178DB" w:rsidP="005178DB">
      <w:pPr>
        <w:rPr>
          <w:rFonts w:asciiTheme="minorHAnsi" w:hAnsiTheme="minorHAnsi"/>
          <w:color w:val="1D1D1D"/>
          <w:lang w:val="en"/>
        </w:rPr>
      </w:pPr>
      <w:r w:rsidRPr="00C33FAD">
        <w:rPr>
          <w:rFonts w:asciiTheme="minorHAnsi" w:hAnsiTheme="minorHAnsi"/>
          <w:color w:val="1D1D1D"/>
          <w:lang w:val="en"/>
        </w:rPr>
        <w:t xml:space="preserve">C.  The Academic Senate Executive Committee shall consist of the Chairperson, Vice Chairperson, Secretary, Parliamentarian, the Chairperson of the previous year, the Chairs </w:t>
      </w:r>
      <w:r w:rsidRPr="00C33FAD">
        <w:rPr>
          <w:rFonts w:asciiTheme="minorHAnsi" w:hAnsiTheme="minorHAnsi"/>
          <w:b/>
          <w:color w:val="1D1D1D"/>
          <w:lang w:val="en"/>
        </w:rPr>
        <w:t>of the Educational Policy Committee and Faculty Policy Committee</w:t>
      </w:r>
      <w:r w:rsidRPr="00C33FAD">
        <w:rPr>
          <w:rFonts w:asciiTheme="minorHAnsi" w:hAnsiTheme="minorHAnsi"/>
          <w:color w:val="1D1D1D"/>
          <w:lang w:val="en"/>
        </w:rPr>
        <w:t xml:space="preserve"> </w:t>
      </w:r>
      <w:r w:rsidRPr="00C33FAD">
        <w:rPr>
          <w:rFonts w:asciiTheme="minorHAnsi" w:hAnsiTheme="minorHAnsi"/>
          <w:strike/>
          <w:color w:val="1D1D1D"/>
          <w:lang w:val="en"/>
        </w:rPr>
        <w:t>the standing committees</w:t>
      </w:r>
      <w:r w:rsidRPr="00C33FAD">
        <w:rPr>
          <w:rFonts w:asciiTheme="minorHAnsi" w:hAnsiTheme="minorHAnsi"/>
          <w:color w:val="1D1D1D"/>
          <w:lang w:val="en"/>
        </w:rPr>
        <w:t>, and the campus representatives to the Statewide Academic Senate of the California State University.</w:t>
      </w:r>
    </w:p>
    <w:p w:rsidR="005178DB" w:rsidRDefault="005178DB" w:rsidP="005178DB">
      <w:pPr>
        <w:rPr>
          <w:rFonts w:ascii="Open Sans" w:hAnsi="Open Sans"/>
          <w:color w:val="1D1D1D"/>
          <w:sz w:val="20"/>
          <w:szCs w:val="20"/>
          <w:lang w:val="en"/>
        </w:rPr>
      </w:pPr>
      <w:r w:rsidRPr="00C33FAD">
        <w:rPr>
          <w:rFonts w:asciiTheme="minorHAnsi" w:hAnsiTheme="minorHAnsi"/>
          <w:color w:val="1D1D1D"/>
          <w:lang w:val="en"/>
        </w:rPr>
        <w:t xml:space="preserve">D. The standing committees shall include the Educational Policy Committee, </w:t>
      </w:r>
      <w:r w:rsidRPr="00C33FAD">
        <w:rPr>
          <w:rFonts w:asciiTheme="minorHAnsi" w:hAnsiTheme="minorHAnsi"/>
          <w:strike/>
          <w:color w:val="1D1D1D"/>
          <w:lang w:val="en"/>
        </w:rPr>
        <w:t>and</w:t>
      </w:r>
      <w:r w:rsidRPr="00C33FAD">
        <w:rPr>
          <w:rFonts w:asciiTheme="minorHAnsi" w:hAnsiTheme="minorHAnsi"/>
          <w:color w:val="1D1D1D"/>
          <w:lang w:val="en"/>
        </w:rPr>
        <w:t xml:space="preserve"> the Faculty Policy Committee, </w:t>
      </w:r>
      <w:r w:rsidRPr="00C33FAD">
        <w:rPr>
          <w:rFonts w:asciiTheme="minorHAnsi" w:hAnsiTheme="minorHAnsi"/>
          <w:b/>
          <w:color w:val="1D1D1D"/>
          <w:lang w:val="en"/>
        </w:rPr>
        <w:t>General Education Committee, and the University Curriculum Committee</w:t>
      </w:r>
      <w:r w:rsidRPr="00C33FAD">
        <w:rPr>
          <w:rFonts w:asciiTheme="minorHAnsi" w:hAnsiTheme="minorHAnsi"/>
          <w:color w:val="1D1D1D"/>
          <w:lang w:val="en"/>
        </w:rPr>
        <w:t>. The Senate may create other standing committees as it deems necessary or advisable. These committees will formulate policy recommendations of the senate and carry out other tasks of a continuing nature. The Senate shall also determine eligibility rules and selection procedures for the Chairperson and members of each committee. The chairs of these committees shall be ex-officio members of the Senate.</w:t>
      </w:r>
    </w:p>
    <w:p w:rsidR="00BD560A" w:rsidRDefault="00BD560A">
      <w:bookmarkStart w:id="0" w:name="_GoBack"/>
      <w:bookmarkEnd w:id="0"/>
    </w:p>
    <w:sectPr w:rsidR="00BD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DB" w:rsidRDefault="005178DB" w:rsidP="005178DB">
      <w:pPr>
        <w:spacing w:after="0" w:line="240" w:lineRule="auto"/>
      </w:pPr>
      <w:r>
        <w:separator/>
      </w:r>
    </w:p>
  </w:endnote>
  <w:endnote w:type="continuationSeparator" w:id="0">
    <w:p w:rsidR="005178DB" w:rsidRDefault="005178DB" w:rsidP="0051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DB" w:rsidRDefault="005178DB" w:rsidP="005178DB">
      <w:pPr>
        <w:spacing w:after="0" w:line="240" w:lineRule="auto"/>
      </w:pPr>
      <w:r>
        <w:separator/>
      </w:r>
    </w:p>
  </w:footnote>
  <w:footnote w:type="continuationSeparator" w:id="0">
    <w:p w:rsidR="005178DB" w:rsidRDefault="005178DB" w:rsidP="005178DB">
      <w:pPr>
        <w:spacing w:after="0" w:line="240" w:lineRule="auto"/>
      </w:pPr>
      <w:r>
        <w:continuationSeparator/>
      </w:r>
    </w:p>
  </w:footnote>
  <w:footnote w:id="1">
    <w:p w:rsidR="005178DB" w:rsidRDefault="005178DB" w:rsidP="005178DB">
      <w:pPr>
        <w:rPr>
          <w:rFonts w:ascii="Open Sans" w:hAnsi="Open Sans"/>
          <w:color w:val="1D1D1D"/>
          <w:sz w:val="20"/>
          <w:szCs w:val="20"/>
          <w:lang w:val="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color w:val="1D1D1D"/>
          <w:sz w:val="20"/>
          <w:szCs w:val="20"/>
          <w:lang w:val="en"/>
        </w:rPr>
        <w:t>Introduced April 22, 2015; vote on May 6, 2015</w:t>
      </w:r>
    </w:p>
    <w:p w:rsidR="005178DB" w:rsidRPr="0038289A" w:rsidRDefault="005178DB" w:rsidP="005178DB">
      <w:pPr>
        <w:pStyle w:val="FootnoteText"/>
        <w:rPr>
          <w:lang w:val="e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DB"/>
    <w:rsid w:val="005178DB"/>
    <w:rsid w:val="00B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8BBAB-1488-4D78-9A11-736446E8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5178D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178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78D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8D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8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1511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2015-05-07T17:16:00Z</dcterms:created>
  <dcterms:modified xsi:type="dcterms:W3CDTF">2015-05-07T17:17:00Z</dcterms:modified>
</cp:coreProperties>
</file>