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32AC2" w14:textId="28310E41" w:rsidR="00D90E75" w:rsidRPr="0059557C" w:rsidRDefault="00D90E75" w:rsidP="00D90E75">
      <w:pPr>
        <w:jc w:val="center"/>
        <w:rPr>
          <w:sz w:val="24"/>
          <w:szCs w:val="24"/>
        </w:rPr>
      </w:pPr>
      <w:r w:rsidRPr="004D5A21">
        <w:rPr>
          <w:b/>
          <w:sz w:val="28"/>
          <w:szCs w:val="28"/>
        </w:rPr>
        <w:t>FPC 14-</w:t>
      </w:r>
      <w:r w:rsidR="00F06825" w:rsidRPr="004D5A21">
        <w:rPr>
          <w:b/>
          <w:sz w:val="28"/>
          <w:szCs w:val="28"/>
        </w:rPr>
        <w:t>0</w:t>
      </w:r>
      <w:r w:rsidR="006D1407" w:rsidRPr="004D5A21">
        <w:rPr>
          <w:b/>
          <w:sz w:val="28"/>
          <w:szCs w:val="28"/>
        </w:rPr>
        <w:t>4</w:t>
      </w:r>
      <w:r w:rsidR="00F63D83">
        <w:rPr>
          <w:sz w:val="24"/>
          <w:szCs w:val="24"/>
        </w:rPr>
        <w:br/>
      </w:r>
      <w:bookmarkStart w:id="0" w:name="_GoBack"/>
      <w:r w:rsidR="00F63D83">
        <w:rPr>
          <w:sz w:val="24"/>
          <w:szCs w:val="24"/>
        </w:rPr>
        <w:t>FINAL</w:t>
      </w:r>
    </w:p>
    <w:bookmarkEnd w:id="0"/>
    <w:p w14:paraId="6AAC0361" w14:textId="00E477D6" w:rsidR="00D90E75" w:rsidRPr="004D5A21" w:rsidRDefault="006D1407" w:rsidP="00D90E75">
      <w:pPr>
        <w:jc w:val="center"/>
        <w:rPr>
          <w:b/>
          <w:sz w:val="28"/>
          <w:szCs w:val="28"/>
        </w:rPr>
      </w:pPr>
      <w:r w:rsidRPr="004D5A21">
        <w:rPr>
          <w:b/>
          <w:sz w:val="28"/>
          <w:szCs w:val="28"/>
        </w:rPr>
        <w:t xml:space="preserve">Recommendation to amend PM 78-15 </w:t>
      </w:r>
      <w:r w:rsidRPr="004D5A21">
        <w:rPr>
          <w:b/>
          <w:i/>
          <w:sz w:val="28"/>
          <w:szCs w:val="28"/>
        </w:rPr>
        <w:t>Selection and Review of Chairpersons for Departments and Programs Which Constitute Primary Teaching Service Areas</w:t>
      </w:r>
    </w:p>
    <w:p w14:paraId="640A9533" w14:textId="77777777" w:rsidR="00D90E75" w:rsidRPr="0059557C" w:rsidRDefault="00D90E75">
      <w:pPr>
        <w:rPr>
          <w:sz w:val="24"/>
          <w:szCs w:val="24"/>
        </w:rPr>
      </w:pPr>
    </w:p>
    <w:p w14:paraId="06ACE700" w14:textId="0C5191C2" w:rsidR="00D90E75" w:rsidRPr="0059557C" w:rsidRDefault="00093795">
      <w:pPr>
        <w:rPr>
          <w:sz w:val="24"/>
          <w:szCs w:val="24"/>
        </w:rPr>
      </w:pPr>
      <w:r w:rsidRPr="0059557C">
        <w:rPr>
          <w:sz w:val="24"/>
          <w:szCs w:val="24"/>
        </w:rPr>
        <w:t xml:space="preserve">Be It </w:t>
      </w:r>
      <w:r w:rsidR="00D90E75" w:rsidRPr="0059557C">
        <w:rPr>
          <w:sz w:val="24"/>
          <w:szCs w:val="24"/>
        </w:rPr>
        <w:t xml:space="preserve">Resolved: that </w:t>
      </w:r>
      <w:r w:rsidR="004118FD" w:rsidRPr="0059557C">
        <w:rPr>
          <w:sz w:val="24"/>
          <w:szCs w:val="24"/>
        </w:rPr>
        <w:t xml:space="preserve">the </w:t>
      </w:r>
      <w:r w:rsidR="00B27B36" w:rsidRPr="0059557C">
        <w:rPr>
          <w:sz w:val="24"/>
          <w:szCs w:val="24"/>
        </w:rPr>
        <w:t xml:space="preserve">ASCSUDH </w:t>
      </w:r>
      <w:r w:rsidR="004118FD" w:rsidRPr="0059557C">
        <w:rPr>
          <w:sz w:val="24"/>
          <w:szCs w:val="24"/>
        </w:rPr>
        <w:t xml:space="preserve">recommend that </w:t>
      </w:r>
      <w:r w:rsidR="00D90E75" w:rsidRPr="0059557C">
        <w:rPr>
          <w:sz w:val="24"/>
          <w:szCs w:val="24"/>
        </w:rPr>
        <w:t xml:space="preserve">PM 78-15 be amended to read </w:t>
      </w:r>
    </w:p>
    <w:p w14:paraId="43834C33" w14:textId="3204E9C4" w:rsidR="00F946A3" w:rsidRDefault="00D90E75" w:rsidP="008573AA">
      <w:pPr>
        <w:ind w:left="720"/>
        <w:rPr>
          <w:sz w:val="24"/>
          <w:szCs w:val="24"/>
        </w:rPr>
      </w:pPr>
      <w:r w:rsidRPr="0059557C">
        <w:rPr>
          <w:i/>
          <w:strike/>
          <w:sz w:val="24"/>
          <w:szCs w:val="24"/>
        </w:rPr>
        <w:t xml:space="preserve">Each faculty member who participates in the nomination process must have a full-time appointment in the University, must have a primary teaching service area assignment in the department or </w:t>
      </w:r>
      <w:r w:rsidR="004E3774" w:rsidRPr="0059557C">
        <w:rPr>
          <w:i/>
          <w:strike/>
          <w:sz w:val="24"/>
          <w:szCs w:val="24"/>
        </w:rPr>
        <w:t>program</w:t>
      </w:r>
      <w:r w:rsidRPr="0059557C">
        <w:rPr>
          <w:i/>
          <w:strike/>
          <w:sz w:val="24"/>
          <w:szCs w:val="24"/>
        </w:rPr>
        <w:t xml:space="preserve"> and must have a minimum rank of Instructor, excluding Lecturers unless reappointed at a rank other than Lecturer as full-time faculty for the following academic year. </w:t>
      </w:r>
      <w:r w:rsidR="008332CA" w:rsidRPr="0059557C">
        <w:rPr>
          <w:i/>
          <w:sz w:val="24"/>
          <w:szCs w:val="24"/>
        </w:rPr>
        <w:t xml:space="preserve"> </w:t>
      </w:r>
      <w:r w:rsidR="007825E0">
        <w:rPr>
          <w:b/>
          <w:sz w:val="24"/>
          <w:szCs w:val="24"/>
        </w:rPr>
        <w:t>In the department chair nomination process, departments</w:t>
      </w:r>
      <w:r w:rsidR="003B1AF0">
        <w:rPr>
          <w:b/>
          <w:sz w:val="24"/>
          <w:szCs w:val="24"/>
        </w:rPr>
        <w:t xml:space="preserve"> may allow participation by</w:t>
      </w:r>
      <w:r w:rsidR="007825E0">
        <w:rPr>
          <w:b/>
          <w:sz w:val="24"/>
          <w:szCs w:val="24"/>
        </w:rPr>
        <w:t xml:space="preserve"> temporary faculty </w:t>
      </w:r>
      <w:r w:rsidR="003B1AF0">
        <w:rPr>
          <w:b/>
          <w:sz w:val="24"/>
          <w:szCs w:val="24"/>
        </w:rPr>
        <w:t xml:space="preserve">pending further clarification of lecturer rights in the Collective Bargaining Agreement. </w:t>
      </w:r>
      <w:r w:rsidR="00F946A3">
        <w:rPr>
          <w:sz w:val="24"/>
          <w:szCs w:val="24"/>
        </w:rPr>
        <w:t>And be i</w:t>
      </w:r>
      <w:r w:rsidR="00F946A3" w:rsidRPr="0059557C">
        <w:rPr>
          <w:sz w:val="24"/>
          <w:szCs w:val="24"/>
        </w:rPr>
        <w:t xml:space="preserve">t </w:t>
      </w:r>
      <w:r w:rsidR="00F946A3">
        <w:rPr>
          <w:sz w:val="24"/>
          <w:szCs w:val="24"/>
        </w:rPr>
        <w:t xml:space="preserve">further </w:t>
      </w:r>
    </w:p>
    <w:p w14:paraId="1E36789C" w14:textId="705A8F13" w:rsidR="008332CA" w:rsidRPr="0059557C" w:rsidRDefault="00F946A3" w:rsidP="00F946A3">
      <w:pPr>
        <w:rPr>
          <w:sz w:val="24"/>
          <w:szCs w:val="24"/>
        </w:rPr>
      </w:pPr>
      <w:r w:rsidRPr="0059557C">
        <w:rPr>
          <w:sz w:val="24"/>
          <w:szCs w:val="24"/>
        </w:rPr>
        <w:t>Resolved</w:t>
      </w:r>
      <w:r>
        <w:rPr>
          <w:sz w:val="24"/>
          <w:szCs w:val="24"/>
        </w:rPr>
        <w:t>: that copies of this resolution and its attachments (Appendix A and Appendix B) be sent to department chairs, deans, program coordinators and all faculty, including lecturers.</w:t>
      </w:r>
    </w:p>
    <w:p w14:paraId="56716714" w14:textId="77777777" w:rsidR="007A0354" w:rsidRDefault="007A0354" w:rsidP="00093795">
      <w:pPr>
        <w:rPr>
          <w:sz w:val="24"/>
          <w:szCs w:val="24"/>
        </w:rPr>
      </w:pPr>
    </w:p>
    <w:p w14:paraId="4AF1EEEC" w14:textId="77777777" w:rsidR="00093795" w:rsidRPr="0059557C" w:rsidRDefault="00093795" w:rsidP="00093795">
      <w:pPr>
        <w:rPr>
          <w:sz w:val="24"/>
          <w:szCs w:val="24"/>
        </w:rPr>
      </w:pPr>
      <w:r w:rsidRPr="0059557C">
        <w:rPr>
          <w:sz w:val="24"/>
          <w:szCs w:val="24"/>
        </w:rPr>
        <w:t>Rationale:</w:t>
      </w:r>
    </w:p>
    <w:p w14:paraId="3E67B6B7" w14:textId="07144AA4" w:rsidR="00093795" w:rsidRPr="0059557C" w:rsidRDefault="006D1407" w:rsidP="00093795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This resolution responds to a set of evolving concerns regarding the participation of temporary faculty in department chair nominations. </w:t>
      </w:r>
      <w:r w:rsidR="00093795" w:rsidRPr="0059557C">
        <w:rPr>
          <w:sz w:val="24"/>
          <w:szCs w:val="24"/>
        </w:rPr>
        <w:t xml:space="preserve">According to the current Collective Bargaining Agreement between the California Faculty Association (CFA) and the California State University (CSU), articles </w:t>
      </w:r>
      <w:hyperlink r:id="rId5" w:anchor="article-2" w:history="1">
        <w:r w:rsidR="00093795" w:rsidRPr="006D1407">
          <w:rPr>
            <w:rStyle w:val="Hyperlink"/>
            <w:sz w:val="24"/>
            <w:szCs w:val="24"/>
          </w:rPr>
          <w:t>2.13e</w:t>
        </w:r>
      </w:hyperlink>
      <w:r w:rsidR="00093795" w:rsidRPr="0059557C">
        <w:rPr>
          <w:sz w:val="24"/>
          <w:szCs w:val="24"/>
        </w:rPr>
        <w:t xml:space="preserve"> and </w:t>
      </w:r>
      <w:hyperlink r:id="rId6" w:anchor="article-2" w:history="1">
        <w:r w:rsidR="00093795" w:rsidRPr="006D1407">
          <w:rPr>
            <w:rStyle w:val="Hyperlink"/>
            <w:sz w:val="24"/>
            <w:szCs w:val="24"/>
          </w:rPr>
          <w:t>2.13h</w:t>
        </w:r>
      </w:hyperlink>
      <w:r w:rsidR="00093795" w:rsidRPr="0059557C">
        <w:rPr>
          <w:sz w:val="24"/>
          <w:szCs w:val="24"/>
        </w:rPr>
        <w:t xml:space="preserve"> define faculty to include temporary faculty. Article </w:t>
      </w:r>
      <w:hyperlink r:id="rId7" w:anchor="article-2" w:history="1">
        <w:r w:rsidR="00093795" w:rsidRPr="006D1407">
          <w:rPr>
            <w:rStyle w:val="Hyperlink"/>
            <w:rFonts w:eastAsia="Times New Roman" w:cs="Arial"/>
            <w:sz w:val="24"/>
            <w:szCs w:val="24"/>
          </w:rPr>
          <w:t>2.12</w:t>
        </w:r>
      </w:hyperlink>
      <w:r w:rsidR="00093795" w:rsidRPr="0059557C">
        <w:rPr>
          <w:rFonts w:eastAsia="Times New Roman" w:cs="Arial"/>
          <w:sz w:val="24"/>
          <w:szCs w:val="24"/>
        </w:rPr>
        <w:t xml:space="preserve"> defines a Department as “the faculty unit employees within an academic department or other equivalent administrative unit.”, and article </w:t>
      </w:r>
      <w:hyperlink r:id="rId8" w:anchor="article-20" w:history="1">
        <w:r w:rsidR="00093795" w:rsidRPr="006D1407">
          <w:rPr>
            <w:rStyle w:val="Hyperlink"/>
            <w:sz w:val="24"/>
            <w:szCs w:val="24"/>
          </w:rPr>
          <w:t>20.30</w:t>
        </w:r>
      </w:hyperlink>
      <w:r w:rsidR="00093795" w:rsidRPr="0059557C">
        <w:rPr>
          <w:sz w:val="24"/>
          <w:szCs w:val="24"/>
        </w:rPr>
        <w:t xml:space="preserve"> states that “</w:t>
      </w:r>
      <w:r w:rsidR="00093795" w:rsidRPr="0059557C">
        <w:rPr>
          <w:rFonts w:cs="Arial"/>
          <w:sz w:val="24"/>
          <w:szCs w:val="24"/>
        </w:rPr>
        <w:t xml:space="preserve">Department chairs shall normally be…recommended by the department for the assignment.” </w:t>
      </w:r>
      <w:r>
        <w:rPr>
          <w:rFonts w:cs="Arial"/>
          <w:sz w:val="24"/>
          <w:szCs w:val="24"/>
        </w:rPr>
        <w:t>(</w:t>
      </w:r>
      <w:proofErr w:type="gramStart"/>
      <w:r>
        <w:rPr>
          <w:rFonts w:cs="Arial"/>
          <w:sz w:val="24"/>
          <w:szCs w:val="24"/>
        </w:rPr>
        <w:t>see</w:t>
      </w:r>
      <w:proofErr w:type="gramEnd"/>
      <w:r>
        <w:rPr>
          <w:rFonts w:cs="Arial"/>
          <w:sz w:val="24"/>
          <w:szCs w:val="24"/>
        </w:rPr>
        <w:t xml:space="preserve"> </w:t>
      </w:r>
      <w:hyperlink r:id="rId9" w:history="1">
        <w:r w:rsidR="00A5728B" w:rsidRPr="00D25728">
          <w:rPr>
            <w:rStyle w:val="Hyperlink"/>
            <w:rFonts w:cs="Arial"/>
            <w:sz w:val="24"/>
            <w:szCs w:val="24"/>
          </w:rPr>
          <w:t>http://www.calfac.org/resource/collective-bargaining-agreement-contract-2012-2014-0</w:t>
        </w:r>
      </w:hyperlink>
      <w:r w:rsidR="00A5728B">
        <w:rPr>
          <w:rFonts w:cs="Arial"/>
          <w:sz w:val="24"/>
          <w:szCs w:val="24"/>
        </w:rPr>
        <w:t>)</w:t>
      </w:r>
    </w:p>
    <w:p w14:paraId="2BD9624C" w14:textId="05A2D24C" w:rsidR="00093795" w:rsidRDefault="0091365C" w:rsidP="00093795">
      <w:pPr>
        <w:rPr>
          <w:sz w:val="24"/>
          <w:szCs w:val="24"/>
        </w:rPr>
      </w:pPr>
      <w:r w:rsidRPr="0059557C">
        <w:rPr>
          <w:sz w:val="24"/>
          <w:szCs w:val="24"/>
        </w:rPr>
        <w:t xml:space="preserve">A </w:t>
      </w:r>
      <w:r w:rsidRPr="006D1407">
        <w:rPr>
          <w:sz w:val="24"/>
          <w:szCs w:val="24"/>
        </w:rPr>
        <w:t>grievance</w:t>
      </w:r>
      <w:r w:rsidRPr="0059557C">
        <w:rPr>
          <w:sz w:val="24"/>
          <w:szCs w:val="24"/>
        </w:rPr>
        <w:t xml:space="preserve"> filed by lecturers regarding this issue at CSU Fresno was adjudicated in their favor, clarifying that the CBA includes temporary faculty in the process of determining a department chair. In the grievance, CSU Fresno referred to a recent </w:t>
      </w:r>
      <w:r w:rsidR="00724933">
        <w:rPr>
          <w:sz w:val="24"/>
          <w:szCs w:val="24"/>
        </w:rPr>
        <w:t xml:space="preserve">department </w:t>
      </w:r>
      <w:r w:rsidRPr="0059557C">
        <w:rPr>
          <w:sz w:val="24"/>
          <w:szCs w:val="24"/>
        </w:rPr>
        <w:t xml:space="preserve">compromise, basing a lecturer vote (or </w:t>
      </w:r>
      <w:r w:rsidR="00045431" w:rsidRPr="0059557C">
        <w:rPr>
          <w:sz w:val="24"/>
          <w:szCs w:val="24"/>
        </w:rPr>
        <w:t>a percentage</w:t>
      </w:r>
      <w:r w:rsidRPr="0059557C">
        <w:rPr>
          <w:sz w:val="24"/>
          <w:szCs w:val="24"/>
        </w:rPr>
        <w:t xml:space="preserve"> thereof) on their </w:t>
      </w:r>
      <w:proofErr w:type="spellStart"/>
      <w:r w:rsidRPr="0059557C">
        <w:rPr>
          <w:sz w:val="24"/>
          <w:szCs w:val="24"/>
        </w:rPr>
        <w:t>timebase</w:t>
      </w:r>
      <w:proofErr w:type="spellEnd"/>
      <w:r w:rsidRPr="0059557C">
        <w:rPr>
          <w:sz w:val="24"/>
          <w:szCs w:val="24"/>
        </w:rPr>
        <w:t xml:space="preserve">.  </w:t>
      </w:r>
      <w:r w:rsidR="006D1407">
        <w:rPr>
          <w:sz w:val="24"/>
          <w:szCs w:val="24"/>
        </w:rPr>
        <w:t>(</w:t>
      </w:r>
      <w:proofErr w:type="gramStart"/>
      <w:r w:rsidR="006D1407">
        <w:rPr>
          <w:sz w:val="24"/>
          <w:szCs w:val="24"/>
        </w:rPr>
        <w:t>see</w:t>
      </w:r>
      <w:proofErr w:type="gramEnd"/>
      <w:r w:rsidR="006D1407">
        <w:rPr>
          <w:sz w:val="24"/>
          <w:szCs w:val="24"/>
        </w:rPr>
        <w:t xml:space="preserve"> Appendix A or </w:t>
      </w:r>
      <w:hyperlink r:id="rId10" w:history="1">
        <w:r w:rsidR="006D1407" w:rsidRPr="00D25728">
          <w:rPr>
            <w:rStyle w:val="Hyperlink"/>
            <w:sz w:val="24"/>
            <w:szCs w:val="24"/>
          </w:rPr>
          <w:t>http://www20.csueastbay.edu/faculty/senate/committees/fac/13-14/13-14-docs/csu-fresno-arbitration.pdf</w:t>
        </w:r>
      </w:hyperlink>
      <w:r w:rsidR="006D1407">
        <w:rPr>
          <w:sz w:val="24"/>
          <w:szCs w:val="24"/>
        </w:rPr>
        <w:t xml:space="preserve">) </w:t>
      </w:r>
      <w:r w:rsidR="00093795" w:rsidRPr="0059557C">
        <w:rPr>
          <w:sz w:val="24"/>
          <w:szCs w:val="24"/>
        </w:rPr>
        <w:t xml:space="preserve">The January 23, 2014 </w:t>
      </w:r>
      <w:r w:rsidR="00093795" w:rsidRPr="0059557C">
        <w:rPr>
          <w:i/>
          <w:sz w:val="24"/>
          <w:szCs w:val="24"/>
        </w:rPr>
        <w:t xml:space="preserve">Joint Recommendation Regarding Lecturer Voting in Department </w:t>
      </w:r>
      <w:r w:rsidR="00542B5B" w:rsidRPr="0059557C">
        <w:rPr>
          <w:i/>
          <w:sz w:val="24"/>
          <w:szCs w:val="24"/>
        </w:rPr>
        <w:t>Chair Nominations and Elections</w:t>
      </w:r>
      <w:r w:rsidR="00093795" w:rsidRPr="0059557C">
        <w:rPr>
          <w:i/>
          <w:sz w:val="24"/>
          <w:szCs w:val="24"/>
        </w:rPr>
        <w:t xml:space="preserve"> </w:t>
      </w:r>
      <w:r w:rsidR="00093795" w:rsidRPr="0059557C">
        <w:rPr>
          <w:sz w:val="24"/>
          <w:szCs w:val="24"/>
        </w:rPr>
        <w:t>between CFA</w:t>
      </w:r>
      <w:r w:rsidR="00062000" w:rsidRPr="0059557C">
        <w:rPr>
          <w:sz w:val="24"/>
          <w:szCs w:val="24"/>
        </w:rPr>
        <w:t>-DH</w:t>
      </w:r>
      <w:r w:rsidR="00093795" w:rsidRPr="0059557C">
        <w:rPr>
          <w:sz w:val="24"/>
          <w:szCs w:val="24"/>
        </w:rPr>
        <w:t xml:space="preserve"> and CSU</w:t>
      </w:r>
      <w:r w:rsidR="00062000" w:rsidRPr="0059557C">
        <w:rPr>
          <w:sz w:val="24"/>
          <w:szCs w:val="24"/>
        </w:rPr>
        <w:t>DH</w:t>
      </w:r>
      <w:r w:rsidR="00093795" w:rsidRPr="0059557C">
        <w:rPr>
          <w:sz w:val="24"/>
          <w:szCs w:val="24"/>
        </w:rPr>
        <w:t xml:space="preserve"> </w:t>
      </w:r>
      <w:r w:rsidRPr="0059557C">
        <w:rPr>
          <w:sz w:val="24"/>
          <w:szCs w:val="24"/>
        </w:rPr>
        <w:t>re</w:t>
      </w:r>
      <w:r w:rsidR="00093795" w:rsidRPr="0059557C">
        <w:rPr>
          <w:sz w:val="24"/>
          <w:szCs w:val="24"/>
        </w:rPr>
        <w:t>asserts the right of certain lecturers to participate in department chair no</w:t>
      </w:r>
      <w:r w:rsidR="00B0050D">
        <w:rPr>
          <w:sz w:val="24"/>
          <w:szCs w:val="24"/>
        </w:rPr>
        <w:t>minations</w:t>
      </w:r>
      <w:r w:rsidR="00093795" w:rsidRPr="0059557C">
        <w:rPr>
          <w:sz w:val="24"/>
          <w:szCs w:val="24"/>
        </w:rPr>
        <w:t>,</w:t>
      </w:r>
      <w:r w:rsidRPr="0059557C">
        <w:rPr>
          <w:sz w:val="24"/>
          <w:szCs w:val="24"/>
        </w:rPr>
        <w:t xml:space="preserve"> and specifies which lecturers may participate in the selection of a department chair. This specification was based on the CSU Fresno compromise but does not divide lecturer votes into percentages. </w:t>
      </w:r>
      <w:r w:rsidR="006D1407">
        <w:rPr>
          <w:sz w:val="24"/>
          <w:szCs w:val="24"/>
        </w:rPr>
        <w:t>(</w:t>
      </w:r>
      <w:proofErr w:type="gramStart"/>
      <w:r w:rsidR="006D1407">
        <w:rPr>
          <w:sz w:val="24"/>
          <w:szCs w:val="24"/>
        </w:rPr>
        <w:t>see</w:t>
      </w:r>
      <w:proofErr w:type="gramEnd"/>
      <w:r w:rsidR="006D1407">
        <w:rPr>
          <w:sz w:val="24"/>
          <w:szCs w:val="24"/>
        </w:rPr>
        <w:t xml:space="preserve"> Appendix B) </w:t>
      </w:r>
    </w:p>
    <w:p w14:paraId="455D844D" w14:textId="526A594B" w:rsidR="005368C6" w:rsidRPr="0059557C" w:rsidRDefault="005368C6" w:rsidP="000937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resolution applies </w:t>
      </w:r>
      <w:r w:rsidRPr="005368C6"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to the process of department chair nominations</w:t>
      </w:r>
      <w:r w:rsidR="006D1407">
        <w:rPr>
          <w:sz w:val="24"/>
          <w:szCs w:val="24"/>
        </w:rPr>
        <w:t>.</w:t>
      </w:r>
      <w:r>
        <w:rPr>
          <w:sz w:val="24"/>
          <w:szCs w:val="24"/>
        </w:rPr>
        <w:t xml:space="preserve"> It does not apply to any other forms of department governance. </w:t>
      </w:r>
    </w:p>
    <w:p w14:paraId="54D16CFF" w14:textId="26E9268F" w:rsidR="000F64C8" w:rsidRPr="0059557C" w:rsidRDefault="000F64C8" w:rsidP="000F64C8">
      <w:pPr>
        <w:spacing w:before="240"/>
        <w:rPr>
          <w:sz w:val="24"/>
          <w:szCs w:val="24"/>
        </w:rPr>
      </w:pPr>
      <w:r w:rsidRPr="0059557C">
        <w:rPr>
          <w:sz w:val="24"/>
          <w:szCs w:val="24"/>
        </w:rPr>
        <w:t xml:space="preserve">Further support for temporary or contingent faculty inclusion in department governance may be found in the report </w:t>
      </w:r>
      <w:r w:rsidRPr="0059557C">
        <w:rPr>
          <w:sz w:val="24"/>
          <w:szCs w:val="24"/>
          <w:u w:val="single"/>
        </w:rPr>
        <w:t>The Inclusion in Governance of Faculty Members Holding Contingent Appointments</w:t>
      </w:r>
      <w:r w:rsidRPr="0059557C">
        <w:rPr>
          <w:sz w:val="24"/>
          <w:szCs w:val="24"/>
        </w:rPr>
        <w:t xml:space="preserve"> (</w:t>
      </w:r>
      <w:hyperlink r:id="rId11" w:history="1">
        <w:r w:rsidRPr="0059557C">
          <w:rPr>
            <w:rStyle w:val="Hyperlink"/>
            <w:sz w:val="24"/>
            <w:szCs w:val="24"/>
          </w:rPr>
          <w:t>http://www.aaup.org/report/governance-inclusion</w:t>
        </w:r>
      </w:hyperlink>
      <w:r w:rsidRPr="0059557C">
        <w:rPr>
          <w:sz w:val="24"/>
          <w:szCs w:val="24"/>
        </w:rPr>
        <w:t>) and its Recommendations (</w:t>
      </w:r>
      <w:hyperlink r:id="rId12" w:history="1">
        <w:r w:rsidRPr="0059557C">
          <w:rPr>
            <w:rStyle w:val="Hyperlink"/>
            <w:sz w:val="24"/>
            <w:szCs w:val="24"/>
          </w:rPr>
          <w:t>http://www.aaup.org/inclusion-governance-faculty-members-holding-contingent-appointments-recommendations</w:t>
        </w:r>
      </w:hyperlink>
      <w:r w:rsidRPr="0059557C">
        <w:rPr>
          <w:sz w:val="24"/>
          <w:szCs w:val="24"/>
        </w:rPr>
        <w:t>), which were adopted as policy by the American Association of University Professors in 2012.</w:t>
      </w:r>
    </w:p>
    <w:p w14:paraId="49879745" w14:textId="77777777" w:rsidR="000F64C8" w:rsidRPr="0059557C" w:rsidRDefault="000F64C8" w:rsidP="00093795">
      <w:pPr>
        <w:rPr>
          <w:sz w:val="24"/>
          <w:szCs w:val="24"/>
        </w:rPr>
      </w:pPr>
    </w:p>
    <w:sectPr w:rsidR="000F64C8" w:rsidRPr="0059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86C"/>
    <w:multiLevelType w:val="hybridMultilevel"/>
    <w:tmpl w:val="3E162952"/>
    <w:lvl w:ilvl="0" w:tplc="43FCA6BE">
      <w:start w:val="1"/>
      <w:numFmt w:val="decimal"/>
      <w:lvlText w:val="%1."/>
      <w:lvlJc w:val="left"/>
      <w:pPr>
        <w:ind w:left="489" w:hanging="336"/>
        <w:jc w:val="left"/>
      </w:pPr>
      <w:rPr>
        <w:rFonts w:ascii="Calibri" w:hAnsi="Calibri" w:hint="default"/>
        <w:b/>
        <w:i w:val="0"/>
        <w:color w:val="auto"/>
        <w:w w:val="102"/>
        <w:sz w:val="23"/>
        <w:szCs w:val="23"/>
      </w:rPr>
    </w:lvl>
    <w:lvl w:ilvl="1" w:tplc="503CA694">
      <w:start w:val="1"/>
      <w:numFmt w:val="bullet"/>
      <w:lvlText w:val="•"/>
      <w:lvlJc w:val="left"/>
      <w:pPr>
        <w:ind w:left="1390" w:hanging="336"/>
      </w:pPr>
      <w:rPr>
        <w:rFonts w:hint="default"/>
      </w:rPr>
    </w:lvl>
    <w:lvl w:ilvl="2" w:tplc="09AA0F04">
      <w:start w:val="1"/>
      <w:numFmt w:val="bullet"/>
      <w:lvlText w:val="•"/>
      <w:lvlJc w:val="left"/>
      <w:pPr>
        <w:ind w:left="2291" w:hanging="336"/>
      </w:pPr>
      <w:rPr>
        <w:rFonts w:hint="default"/>
      </w:rPr>
    </w:lvl>
    <w:lvl w:ilvl="3" w:tplc="757EFF40">
      <w:start w:val="1"/>
      <w:numFmt w:val="bullet"/>
      <w:lvlText w:val="•"/>
      <w:lvlJc w:val="left"/>
      <w:pPr>
        <w:ind w:left="3192" w:hanging="336"/>
      </w:pPr>
      <w:rPr>
        <w:rFonts w:hint="default"/>
      </w:rPr>
    </w:lvl>
    <w:lvl w:ilvl="4" w:tplc="0598D324">
      <w:start w:val="1"/>
      <w:numFmt w:val="bullet"/>
      <w:lvlText w:val="•"/>
      <w:lvlJc w:val="left"/>
      <w:pPr>
        <w:ind w:left="4093" w:hanging="336"/>
      </w:pPr>
      <w:rPr>
        <w:rFonts w:hint="default"/>
      </w:rPr>
    </w:lvl>
    <w:lvl w:ilvl="5" w:tplc="C3E271E8">
      <w:start w:val="1"/>
      <w:numFmt w:val="bullet"/>
      <w:lvlText w:val="•"/>
      <w:lvlJc w:val="left"/>
      <w:pPr>
        <w:ind w:left="4994" w:hanging="336"/>
      </w:pPr>
      <w:rPr>
        <w:rFonts w:hint="default"/>
      </w:rPr>
    </w:lvl>
    <w:lvl w:ilvl="6" w:tplc="6CE4F0C8">
      <w:start w:val="1"/>
      <w:numFmt w:val="bullet"/>
      <w:lvlText w:val="•"/>
      <w:lvlJc w:val="left"/>
      <w:pPr>
        <w:ind w:left="5895" w:hanging="336"/>
      </w:pPr>
      <w:rPr>
        <w:rFonts w:hint="default"/>
      </w:rPr>
    </w:lvl>
    <w:lvl w:ilvl="7" w:tplc="C7CEC122">
      <w:start w:val="1"/>
      <w:numFmt w:val="bullet"/>
      <w:lvlText w:val="•"/>
      <w:lvlJc w:val="left"/>
      <w:pPr>
        <w:ind w:left="6796" w:hanging="336"/>
      </w:pPr>
      <w:rPr>
        <w:rFonts w:hint="default"/>
      </w:rPr>
    </w:lvl>
    <w:lvl w:ilvl="8" w:tplc="B3D6CBA4">
      <w:start w:val="1"/>
      <w:numFmt w:val="bullet"/>
      <w:lvlText w:val="•"/>
      <w:lvlJc w:val="left"/>
      <w:pPr>
        <w:ind w:left="769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5"/>
    <w:rsid w:val="00000167"/>
    <w:rsid w:val="000341F1"/>
    <w:rsid w:val="00045431"/>
    <w:rsid w:val="00062000"/>
    <w:rsid w:val="00093795"/>
    <w:rsid w:val="000F64C8"/>
    <w:rsid w:val="00147152"/>
    <w:rsid w:val="00266C7B"/>
    <w:rsid w:val="0027033A"/>
    <w:rsid w:val="002B60AF"/>
    <w:rsid w:val="002E5BF6"/>
    <w:rsid w:val="002E759D"/>
    <w:rsid w:val="00345579"/>
    <w:rsid w:val="003B1AF0"/>
    <w:rsid w:val="004118FD"/>
    <w:rsid w:val="00476148"/>
    <w:rsid w:val="004D5A21"/>
    <w:rsid w:val="004E3774"/>
    <w:rsid w:val="004E6D6B"/>
    <w:rsid w:val="005368C6"/>
    <w:rsid w:val="00542B5B"/>
    <w:rsid w:val="005672F0"/>
    <w:rsid w:val="0059557C"/>
    <w:rsid w:val="00681C08"/>
    <w:rsid w:val="006C388D"/>
    <w:rsid w:val="006D1407"/>
    <w:rsid w:val="006E2618"/>
    <w:rsid w:val="00705CFC"/>
    <w:rsid w:val="00724933"/>
    <w:rsid w:val="007825E0"/>
    <w:rsid w:val="007A0354"/>
    <w:rsid w:val="007D17C5"/>
    <w:rsid w:val="008332CA"/>
    <w:rsid w:val="008573AA"/>
    <w:rsid w:val="0091365C"/>
    <w:rsid w:val="00922136"/>
    <w:rsid w:val="009504DF"/>
    <w:rsid w:val="00970D92"/>
    <w:rsid w:val="0097735F"/>
    <w:rsid w:val="009B0C3C"/>
    <w:rsid w:val="009B7106"/>
    <w:rsid w:val="009E1346"/>
    <w:rsid w:val="00A44CA1"/>
    <w:rsid w:val="00A5728B"/>
    <w:rsid w:val="00A867EB"/>
    <w:rsid w:val="00B0050D"/>
    <w:rsid w:val="00B00A8D"/>
    <w:rsid w:val="00B02A6A"/>
    <w:rsid w:val="00B22A22"/>
    <w:rsid w:val="00B27B36"/>
    <w:rsid w:val="00B7371A"/>
    <w:rsid w:val="00BD3648"/>
    <w:rsid w:val="00BF0172"/>
    <w:rsid w:val="00CC479D"/>
    <w:rsid w:val="00D3652A"/>
    <w:rsid w:val="00D57276"/>
    <w:rsid w:val="00D90E75"/>
    <w:rsid w:val="00DD1A85"/>
    <w:rsid w:val="00DF0473"/>
    <w:rsid w:val="00E64E0A"/>
    <w:rsid w:val="00E66E1D"/>
    <w:rsid w:val="00F06825"/>
    <w:rsid w:val="00F63D83"/>
    <w:rsid w:val="00F66A5E"/>
    <w:rsid w:val="00F7666C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A461"/>
  <w15:chartTrackingRefBased/>
  <w15:docId w15:val="{CF41BD42-7389-4155-B93C-3D98E26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45579"/>
  </w:style>
  <w:style w:type="paragraph" w:styleId="BalloonText">
    <w:name w:val="Balloon Text"/>
    <w:basedOn w:val="Normal"/>
    <w:link w:val="BalloonTextChar"/>
    <w:uiPriority w:val="99"/>
    <w:semiHidden/>
    <w:unhideWhenUsed/>
    <w:rsid w:val="00CC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C479D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C479D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BF01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6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6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fac.org/resource/collective-bargaining-agreement-contract-2012-2014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fac.org/resource/collective-bargaining-agreement-contract-2012-2014-0" TargetMode="External"/><Relationship Id="rId12" Type="http://schemas.openxmlformats.org/officeDocument/2006/relationships/hyperlink" Target="http://www.aaup.org/inclusion-governance-faculty-members-holding-contingent-appointments-recomme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fac.org/resource/collective-bargaining-agreement-contract-2012-2014-0" TargetMode="External"/><Relationship Id="rId11" Type="http://schemas.openxmlformats.org/officeDocument/2006/relationships/hyperlink" Target="http://www.aaup.org/report/governance-inclusion" TargetMode="External"/><Relationship Id="rId5" Type="http://schemas.openxmlformats.org/officeDocument/2006/relationships/hyperlink" Target="http://www.calfac.org/resource/collective-bargaining-agreement-contract-2012-2014-0" TargetMode="External"/><Relationship Id="rId10" Type="http://schemas.openxmlformats.org/officeDocument/2006/relationships/hyperlink" Target="http://www20.csueastbay.edu/faculty/senate/committees/fac/13-14/13-14-docs/csu-fresno-arbitr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fac.org/resource/collective-bargaining-agreement-contract-2012-2014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Bordinaro</dc:creator>
  <cp:keywords/>
  <dc:description/>
  <cp:lastModifiedBy>Susanne Walker</cp:lastModifiedBy>
  <cp:revision>6</cp:revision>
  <cp:lastPrinted>2014-04-16T21:14:00Z</cp:lastPrinted>
  <dcterms:created xsi:type="dcterms:W3CDTF">2014-06-23T21:15:00Z</dcterms:created>
  <dcterms:modified xsi:type="dcterms:W3CDTF">2014-08-13T23:09:00Z</dcterms:modified>
</cp:coreProperties>
</file>