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7A72" w14:textId="671B19E3" w:rsidR="00E10EFD" w:rsidRPr="00CE218E" w:rsidRDefault="00E10EFD" w:rsidP="00CE218E">
      <w:pPr>
        <w:pStyle w:val="Heading1"/>
        <w:framePr w:w="11051" w:wrap="around" w:hAnchor="page" w:x="751" w:y="-79"/>
        <w:rPr>
          <w:sz w:val="26"/>
          <w:szCs w:val="26"/>
          <w:u w:val="single"/>
        </w:rPr>
      </w:pPr>
      <w:r w:rsidRPr="00CE218E">
        <w:rPr>
          <w:sz w:val="26"/>
          <w:szCs w:val="26"/>
          <w:u w:val="single"/>
        </w:rPr>
        <w:t>Proposed LANGUAGE to be Included under “</w:t>
      </w:r>
      <w:r w:rsidR="00CE218E" w:rsidRPr="00CE218E">
        <w:rPr>
          <w:sz w:val="26"/>
          <w:szCs w:val="26"/>
          <w:u w:val="single"/>
        </w:rPr>
        <w:t xml:space="preserve">University </w:t>
      </w:r>
      <w:r w:rsidRPr="00CE218E">
        <w:rPr>
          <w:sz w:val="26"/>
          <w:szCs w:val="26"/>
          <w:u w:val="single"/>
        </w:rPr>
        <w:t>Graduation Requirements”</w:t>
      </w:r>
      <w:r w:rsidR="000561D1">
        <w:rPr>
          <w:sz w:val="26"/>
          <w:szCs w:val="26"/>
          <w:u w:val="single"/>
        </w:rPr>
        <w:t>*</w:t>
      </w:r>
    </w:p>
    <w:p w14:paraId="74703ACE" w14:textId="77777777" w:rsidR="00E10EFD" w:rsidRPr="00CE218E" w:rsidRDefault="00E10EFD" w:rsidP="00CE218E">
      <w:pPr>
        <w:pStyle w:val="Heading1"/>
        <w:framePr w:w="11051" w:wrap="around" w:hAnchor="page" w:x="751" w:y="-79"/>
        <w:rPr>
          <w:sz w:val="26"/>
          <w:szCs w:val="26"/>
        </w:rPr>
      </w:pPr>
      <w:r w:rsidRPr="00CE218E">
        <w:rPr>
          <w:sz w:val="26"/>
          <w:szCs w:val="26"/>
        </w:rPr>
        <w:t>Integrative Studies in Cultural Pluralism</w:t>
      </w:r>
      <w:r w:rsidRPr="00CE218E">
        <w:rPr>
          <w:sz w:val="26"/>
          <w:szCs w:val="26"/>
        </w:rPr>
        <w:fldChar w:fldCharType="begin"/>
      </w:r>
      <w:r w:rsidRPr="00CE218E">
        <w:rPr>
          <w:sz w:val="26"/>
          <w:szCs w:val="26"/>
        </w:rPr>
        <w:instrText xml:space="preserve"> XE "G. Objectives for Integrative Studies in Cultural Pluralism" </w:instrText>
      </w:r>
      <w:r w:rsidRPr="00CE218E">
        <w:rPr>
          <w:sz w:val="26"/>
          <w:szCs w:val="26"/>
        </w:rPr>
        <w:fldChar w:fldCharType="end"/>
      </w:r>
    </w:p>
    <w:p w14:paraId="108CF769" w14:textId="77777777" w:rsidR="00E10EFD" w:rsidRPr="0024386B" w:rsidRDefault="00E10EFD" w:rsidP="00E10EFD">
      <w:pPr>
        <w:pStyle w:val="sc-BodyText"/>
        <w:rPr>
          <w:sz w:val="20"/>
          <w:szCs w:val="20"/>
        </w:rPr>
      </w:pPr>
      <w:r w:rsidRPr="0024386B">
        <w:rPr>
          <w:sz w:val="20"/>
          <w:szCs w:val="20"/>
        </w:rPr>
        <w:t>Cultural pluralism involves the interaction within a given society of people with different ways of living and thinking. It is the historical result of the amalgamation of various behaviors, beliefs, technologies and expressive forms. Typically, a pluralistic society includes several distinct social or cultural groups that are interdependent within a common social, economic or political system yet maintain a degree of autonomy in other spheres of life, such as family, recreation, intellectual pursuits and religion. In Southern California, where increasingly the society is multicultural in many significant ways, the need for this dimension in undergraduate education is clear. Consequently, all students will complete one interdisciplinary course in cultural pluralism, which emphasizes the impact of the integration of cultures.</w:t>
      </w:r>
    </w:p>
    <w:p w14:paraId="0AFC3351" w14:textId="77777777" w:rsidR="00E10EFD" w:rsidRPr="0024386B" w:rsidRDefault="00E10EFD" w:rsidP="00E10EFD">
      <w:pPr>
        <w:pStyle w:val="sc-BodyText"/>
        <w:rPr>
          <w:sz w:val="20"/>
          <w:szCs w:val="20"/>
        </w:rPr>
      </w:pPr>
      <w:r w:rsidRPr="0024386B">
        <w:rPr>
          <w:sz w:val="20"/>
          <w:szCs w:val="20"/>
        </w:rPr>
        <w:t>Students who complete the requirement for Integrative Studies in the Cultural Pluralism will be able to:</w:t>
      </w:r>
    </w:p>
    <w:p w14:paraId="0849586F" w14:textId="77777777" w:rsidR="00E10EFD" w:rsidRPr="0024386B" w:rsidRDefault="00E10EFD" w:rsidP="00E10EFD">
      <w:pPr>
        <w:pStyle w:val="sc-List-1"/>
        <w:rPr>
          <w:sz w:val="20"/>
          <w:szCs w:val="20"/>
        </w:rPr>
      </w:pPr>
      <w:r w:rsidRPr="0024386B">
        <w:rPr>
          <w:sz w:val="20"/>
          <w:szCs w:val="20"/>
        </w:rPr>
        <w:t>1.</w:t>
      </w:r>
      <w:r w:rsidRPr="0024386B">
        <w:rPr>
          <w:sz w:val="20"/>
          <w:szCs w:val="20"/>
        </w:rPr>
        <w:tab/>
      </w:r>
      <w:proofErr w:type="gramStart"/>
      <w:r w:rsidRPr="0024386B">
        <w:rPr>
          <w:sz w:val="20"/>
          <w:szCs w:val="20"/>
        </w:rPr>
        <w:t>describe</w:t>
      </w:r>
      <w:proofErr w:type="gramEnd"/>
      <w:r w:rsidRPr="0024386B">
        <w:rPr>
          <w:sz w:val="20"/>
          <w:szCs w:val="20"/>
        </w:rPr>
        <w:t> their understanding of the concept of culture as variously defined and applied;</w:t>
      </w:r>
    </w:p>
    <w:p w14:paraId="00D26209" w14:textId="77777777" w:rsidR="00E10EFD" w:rsidRPr="0024386B" w:rsidRDefault="00E10EFD" w:rsidP="00E10EFD">
      <w:pPr>
        <w:pStyle w:val="sc-List-1"/>
        <w:rPr>
          <w:sz w:val="20"/>
          <w:szCs w:val="20"/>
        </w:rPr>
      </w:pPr>
      <w:r w:rsidRPr="0024386B">
        <w:rPr>
          <w:sz w:val="20"/>
          <w:szCs w:val="20"/>
        </w:rPr>
        <w:t>2.</w:t>
      </w:r>
      <w:r w:rsidRPr="0024386B">
        <w:rPr>
          <w:sz w:val="20"/>
          <w:szCs w:val="20"/>
        </w:rPr>
        <w:tab/>
      </w:r>
      <w:proofErr w:type="gramStart"/>
      <w:r w:rsidRPr="0024386B">
        <w:rPr>
          <w:sz w:val="20"/>
          <w:szCs w:val="20"/>
        </w:rPr>
        <w:t>discuss</w:t>
      </w:r>
      <w:proofErr w:type="gramEnd"/>
      <w:r w:rsidRPr="0024386B">
        <w:rPr>
          <w:sz w:val="20"/>
          <w:szCs w:val="20"/>
        </w:rPr>
        <w:t> the processes of cultural and ethnic development on a national and international scale;</w:t>
      </w:r>
    </w:p>
    <w:p w14:paraId="2207A03B" w14:textId="77777777" w:rsidR="00E10EFD" w:rsidRPr="0024386B" w:rsidRDefault="00E10EFD" w:rsidP="00E10EFD">
      <w:pPr>
        <w:pStyle w:val="sc-List-1"/>
        <w:rPr>
          <w:sz w:val="20"/>
          <w:szCs w:val="20"/>
        </w:rPr>
      </w:pPr>
      <w:r w:rsidRPr="0024386B">
        <w:rPr>
          <w:sz w:val="20"/>
          <w:szCs w:val="20"/>
        </w:rPr>
        <w:t>3.</w:t>
      </w:r>
      <w:r w:rsidRPr="0024386B">
        <w:rPr>
          <w:sz w:val="20"/>
          <w:szCs w:val="20"/>
        </w:rPr>
        <w:tab/>
      </w:r>
      <w:proofErr w:type="gramStart"/>
      <w:r w:rsidRPr="0024386B">
        <w:rPr>
          <w:sz w:val="20"/>
          <w:szCs w:val="20"/>
        </w:rPr>
        <w:t>compare</w:t>
      </w:r>
      <w:proofErr w:type="gramEnd"/>
      <w:r w:rsidRPr="0024386B">
        <w:rPr>
          <w:sz w:val="20"/>
          <w:szCs w:val="20"/>
        </w:rPr>
        <w:t> and contrast the factors influencing the structure and content of culturally pluralistic and inter-ethnic relationships; and</w:t>
      </w:r>
    </w:p>
    <w:p w14:paraId="1405E515" w14:textId="385B783D" w:rsidR="00E10EFD" w:rsidRPr="0024386B" w:rsidRDefault="00E10EFD" w:rsidP="00E10EFD">
      <w:pPr>
        <w:pStyle w:val="sc-List-1"/>
        <w:rPr>
          <w:sz w:val="20"/>
          <w:szCs w:val="20"/>
        </w:rPr>
      </w:pPr>
      <w:r w:rsidRPr="0024386B">
        <w:rPr>
          <w:sz w:val="20"/>
          <w:szCs w:val="20"/>
        </w:rPr>
        <w:t>4.</w:t>
      </w:r>
      <w:r w:rsidRPr="0024386B">
        <w:rPr>
          <w:sz w:val="20"/>
          <w:szCs w:val="20"/>
        </w:rPr>
        <w:tab/>
      </w:r>
      <w:proofErr w:type="gramStart"/>
      <w:r w:rsidRPr="0024386B">
        <w:rPr>
          <w:sz w:val="20"/>
          <w:szCs w:val="20"/>
        </w:rPr>
        <w:t>demonstrate</w:t>
      </w:r>
      <w:proofErr w:type="gramEnd"/>
      <w:r w:rsidRPr="0024386B">
        <w:rPr>
          <w:sz w:val="20"/>
          <w:szCs w:val="20"/>
        </w:rPr>
        <w:t> the ability to acquire and communicate an understanding of diverse ways of life.</w:t>
      </w:r>
    </w:p>
    <w:p w14:paraId="7A9996C8" w14:textId="296B8AB4" w:rsidR="00E10EFD" w:rsidRPr="0024386B" w:rsidRDefault="00E10EFD" w:rsidP="00E10EFD">
      <w:pPr>
        <w:pStyle w:val="sc-BodyText"/>
        <w:rPr>
          <w:sz w:val="20"/>
          <w:szCs w:val="20"/>
        </w:rPr>
      </w:pPr>
      <w:r w:rsidRPr="0024386B">
        <w:rPr>
          <w:sz w:val="20"/>
          <w:szCs w:val="20"/>
          <w:u w:val="single"/>
        </w:rPr>
        <w:t>Students who pass upper-division GE courses for the Social and Behavioral Sciences requirement (Area F3) will have met this requirement</w:t>
      </w:r>
      <w:r w:rsidRPr="0024386B">
        <w:rPr>
          <w:sz w:val="20"/>
          <w:szCs w:val="20"/>
        </w:rPr>
        <w:t xml:space="preserve">, but the requirement </w:t>
      </w:r>
      <w:proofErr w:type="gramStart"/>
      <w:r w:rsidRPr="0024386B">
        <w:rPr>
          <w:sz w:val="20"/>
          <w:szCs w:val="20"/>
        </w:rPr>
        <w:t>can also be met</w:t>
      </w:r>
      <w:proofErr w:type="gramEnd"/>
      <w:r w:rsidRPr="0024386B">
        <w:rPr>
          <w:sz w:val="20"/>
          <w:szCs w:val="20"/>
        </w:rPr>
        <w:t xml:space="preserve"> by the following courses:  </w:t>
      </w:r>
    </w:p>
    <w:p w14:paraId="713A6207" w14:textId="77777777" w:rsidR="00E10EFD" w:rsidRPr="0024386B" w:rsidRDefault="00E10EFD" w:rsidP="00E10EFD">
      <w:pPr>
        <w:pStyle w:val="sc-BodyText"/>
        <w:rPr>
          <w:sz w:val="20"/>
          <w:szCs w:val="20"/>
        </w:rPr>
      </w:pPr>
      <w:r w:rsidRPr="0024386B">
        <w:rPr>
          <w:sz w:val="20"/>
          <w:szCs w:val="20"/>
        </w:rPr>
        <w:t>ANT 312. Language and Culture (3)</w:t>
      </w:r>
    </w:p>
    <w:p w14:paraId="202C2DF4" w14:textId="77777777" w:rsidR="00E10EFD" w:rsidRPr="0024386B" w:rsidRDefault="00E10EFD" w:rsidP="00E10EFD">
      <w:pPr>
        <w:pStyle w:val="sc-BodyText"/>
        <w:rPr>
          <w:sz w:val="20"/>
          <w:szCs w:val="20"/>
        </w:rPr>
      </w:pPr>
      <w:r w:rsidRPr="0024386B">
        <w:rPr>
          <w:sz w:val="20"/>
          <w:szCs w:val="20"/>
        </w:rPr>
        <w:t>ANT 336. Comparative Cultures: Comparative Sociopolitical Systems (3)</w:t>
      </w:r>
    </w:p>
    <w:p w14:paraId="59EB9F4A" w14:textId="77777777" w:rsidR="00E10EFD" w:rsidRPr="0024386B" w:rsidRDefault="00E10EFD" w:rsidP="00E10EFD">
      <w:pPr>
        <w:pStyle w:val="sc-BodyText"/>
        <w:rPr>
          <w:sz w:val="20"/>
          <w:szCs w:val="20"/>
        </w:rPr>
      </w:pPr>
      <w:r w:rsidRPr="0024386B">
        <w:rPr>
          <w:sz w:val="20"/>
          <w:szCs w:val="20"/>
        </w:rPr>
        <w:t>ANT 337. Comparative Cultures: Ethnography and Film (3)</w:t>
      </w:r>
    </w:p>
    <w:p w14:paraId="3F4AB5D2" w14:textId="77777777" w:rsidR="00E10EFD" w:rsidRPr="0024386B" w:rsidRDefault="00E10EFD" w:rsidP="00E10EFD">
      <w:pPr>
        <w:pStyle w:val="sc-BodyText"/>
        <w:rPr>
          <w:sz w:val="20"/>
          <w:szCs w:val="20"/>
        </w:rPr>
      </w:pPr>
      <w:r w:rsidRPr="0024386B">
        <w:rPr>
          <w:sz w:val="20"/>
          <w:szCs w:val="20"/>
        </w:rPr>
        <w:t>ANT 338. Comparative Cultures: Mainland Southeast Asia (3)</w:t>
      </w:r>
    </w:p>
    <w:p w14:paraId="302E0E42" w14:textId="77777777" w:rsidR="00E10EFD" w:rsidRPr="0024386B" w:rsidRDefault="00E10EFD" w:rsidP="00E10EFD">
      <w:pPr>
        <w:pStyle w:val="sc-BodyText"/>
        <w:rPr>
          <w:sz w:val="20"/>
          <w:szCs w:val="20"/>
        </w:rPr>
      </w:pPr>
      <w:r w:rsidRPr="0024386B">
        <w:rPr>
          <w:sz w:val="20"/>
          <w:szCs w:val="20"/>
        </w:rPr>
        <w:t>ANT 339. Comparative Cultures: Mexico and Central America (3)</w:t>
      </w:r>
    </w:p>
    <w:p w14:paraId="71E5D310" w14:textId="77777777" w:rsidR="00E10EFD" w:rsidRPr="0024386B" w:rsidRDefault="00E10EFD" w:rsidP="00E10EFD">
      <w:pPr>
        <w:pStyle w:val="sc-BodyText"/>
        <w:rPr>
          <w:sz w:val="20"/>
          <w:szCs w:val="20"/>
        </w:rPr>
      </w:pPr>
      <w:r w:rsidRPr="0024386B">
        <w:rPr>
          <w:sz w:val="20"/>
          <w:szCs w:val="20"/>
        </w:rPr>
        <w:t>ANT 340. Comparative Cultures: Peoples of Ancient Egypt (3)</w:t>
      </w:r>
    </w:p>
    <w:p w14:paraId="18DF0BE5" w14:textId="77777777" w:rsidR="00E10EFD" w:rsidRPr="0024386B" w:rsidRDefault="00E10EFD" w:rsidP="00E10EFD">
      <w:pPr>
        <w:pStyle w:val="sc-BodyText"/>
        <w:rPr>
          <w:sz w:val="20"/>
          <w:szCs w:val="20"/>
        </w:rPr>
      </w:pPr>
      <w:r w:rsidRPr="0024386B">
        <w:rPr>
          <w:sz w:val="20"/>
          <w:szCs w:val="20"/>
        </w:rPr>
        <w:t>ANT 342. Comparative Cultures: South America (3)</w:t>
      </w:r>
    </w:p>
    <w:p w14:paraId="5D6D84A7" w14:textId="77777777" w:rsidR="00E10EFD" w:rsidRPr="0024386B" w:rsidRDefault="00E10EFD" w:rsidP="00E10EFD">
      <w:pPr>
        <w:pStyle w:val="sc-BodyText"/>
        <w:rPr>
          <w:sz w:val="20"/>
          <w:szCs w:val="20"/>
        </w:rPr>
      </w:pPr>
      <w:r w:rsidRPr="0024386B">
        <w:rPr>
          <w:sz w:val="20"/>
          <w:szCs w:val="20"/>
        </w:rPr>
        <w:t>ANT 389. Transmission of Culture (3)</w:t>
      </w:r>
      <w:bookmarkStart w:id="0" w:name="_GoBack"/>
      <w:bookmarkEnd w:id="0"/>
    </w:p>
    <w:p w14:paraId="22EB239D" w14:textId="77777777" w:rsidR="00E10EFD" w:rsidRPr="0024386B" w:rsidRDefault="00E10EFD" w:rsidP="00E10EFD">
      <w:pPr>
        <w:pStyle w:val="sc-BodyText"/>
        <w:rPr>
          <w:sz w:val="20"/>
          <w:szCs w:val="20"/>
        </w:rPr>
      </w:pPr>
      <w:r w:rsidRPr="0024386B">
        <w:rPr>
          <w:sz w:val="20"/>
          <w:szCs w:val="20"/>
        </w:rPr>
        <w:t>HIS 376. Film as History (3)</w:t>
      </w:r>
    </w:p>
    <w:p w14:paraId="485932DB" w14:textId="77777777" w:rsidR="00E10EFD" w:rsidRPr="0024386B" w:rsidRDefault="00E10EFD" w:rsidP="00E10EFD">
      <w:pPr>
        <w:pStyle w:val="sc-BodyText"/>
        <w:rPr>
          <w:sz w:val="20"/>
          <w:szCs w:val="20"/>
        </w:rPr>
      </w:pPr>
      <w:r w:rsidRPr="0024386B">
        <w:rPr>
          <w:sz w:val="20"/>
          <w:szCs w:val="20"/>
        </w:rPr>
        <w:t>MUS 401. Afro-American Music (3)</w:t>
      </w:r>
    </w:p>
    <w:p w14:paraId="2100CCDC" w14:textId="77777777" w:rsidR="00E10EFD" w:rsidRPr="0024386B" w:rsidRDefault="00E10EFD" w:rsidP="00E10EFD">
      <w:pPr>
        <w:pStyle w:val="sc-BodyText"/>
        <w:rPr>
          <w:sz w:val="20"/>
          <w:szCs w:val="20"/>
        </w:rPr>
      </w:pPr>
      <w:r w:rsidRPr="0024386B">
        <w:rPr>
          <w:sz w:val="20"/>
          <w:szCs w:val="20"/>
        </w:rPr>
        <w:t>PHI 383. Comparative Religions (3)</w:t>
      </w:r>
    </w:p>
    <w:p w14:paraId="59953691" w14:textId="77777777" w:rsidR="000561D1" w:rsidRPr="0024386B" w:rsidRDefault="000561D1" w:rsidP="00E10EFD">
      <w:pPr>
        <w:pStyle w:val="sc-BodyText"/>
        <w:rPr>
          <w:sz w:val="20"/>
          <w:szCs w:val="20"/>
        </w:rPr>
      </w:pPr>
    </w:p>
    <w:p w14:paraId="4C5B4A44" w14:textId="23935B1D" w:rsidR="000561D1" w:rsidRDefault="000561D1" w:rsidP="00E10EFD">
      <w:pPr>
        <w:pStyle w:val="sc-BodyText"/>
      </w:pPr>
      <w:r w:rsidRPr="0024386B">
        <w:rPr>
          <w:sz w:val="20"/>
          <w:szCs w:val="20"/>
        </w:rPr>
        <w:t>*Also included in this “University Graduation Requirements” section will be the American Institutions Requirement and GWAR info.</w:t>
      </w:r>
    </w:p>
    <w:p w14:paraId="45980161" w14:textId="77777777" w:rsidR="00E10EFD" w:rsidRDefault="00E10EFD" w:rsidP="00E10EFD"/>
    <w:p w14:paraId="7379C7F1" w14:textId="77777777" w:rsidR="00E10EFD" w:rsidRDefault="00E10EFD" w:rsidP="00E10EFD"/>
    <w:p w14:paraId="37247BC5" w14:textId="77777777" w:rsidR="00BD2D7C" w:rsidRDefault="00BD2D7C"/>
    <w:sectPr w:rsidR="00BD2D7C" w:rsidSect="0046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FD"/>
    <w:rsid w:val="000561D1"/>
    <w:rsid w:val="0024386B"/>
    <w:rsid w:val="004661E5"/>
    <w:rsid w:val="007A6513"/>
    <w:rsid w:val="00BD2D7C"/>
    <w:rsid w:val="00CE218E"/>
    <w:rsid w:val="00E1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CD2D"/>
  <w15:chartTrackingRefBased/>
  <w15:docId w15:val="{924077E1-54A1-EA4F-BF6F-3CEB241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FD"/>
  </w:style>
  <w:style w:type="paragraph" w:styleId="Heading1">
    <w:name w:val="heading 1"/>
    <w:basedOn w:val="Normal"/>
    <w:next w:val="Normal"/>
    <w:link w:val="Heading1Char"/>
    <w:qFormat/>
    <w:rsid w:val="00E10EFD"/>
    <w:pPr>
      <w:keepNext/>
      <w:keepLines/>
      <w:framePr w:w="10080" w:wrap="around" w:vAnchor="text" w:hAnchor="text" w:y="1"/>
      <w:spacing w:before="320" w:after="200" w:line="200" w:lineRule="atLeast"/>
      <w:outlineLvl w:val="0"/>
    </w:pPr>
    <w:rPr>
      <w:rFonts w:asciiTheme="majorHAnsi" w:eastAsia="Times New Roman" w:hAnsiTheme="majorHAnsi" w:cstheme="majorHAnsi"/>
      <w:b/>
      <w:caps/>
      <w:color w:val="000000"/>
      <w:sz w:val="2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EFD"/>
    <w:rPr>
      <w:rFonts w:asciiTheme="majorHAnsi" w:eastAsia="Times New Roman" w:hAnsiTheme="majorHAnsi" w:cstheme="majorHAnsi"/>
      <w:b/>
      <w:caps/>
      <w:color w:val="000000"/>
      <w:sz w:val="27"/>
      <w:szCs w:val="19"/>
    </w:rPr>
  </w:style>
  <w:style w:type="paragraph" w:customStyle="1" w:styleId="sc-BodyText">
    <w:name w:val="sc-BodyText"/>
    <w:basedOn w:val="Normal"/>
    <w:rsid w:val="00E10EFD"/>
    <w:pPr>
      <w:spacing w:before="120"/>
    </w:pPr>
    <w:rPr>
      <w:rFonts w:asciiTheme="majorHAnsi" w:eastAsia="Times New Roman" w:hAnsiTheme="majorHAnsi" w:cstheme="majorHAnsi"/>
      <w:color w:val="000000"/>
      <w:sz w:val="18"/>
      <w:szCs w:val="18"/>
    </w:rPr>
  </w:style>
  <w:style w:type="paragraph" w:customStyle="1" w:styleId="sc-List-1">
    <w:name w:val="sc-List-1"/>
    <w:basedOn w:val="sc-BodyText"/>
    <w:qFormat/>
    <w:rsid w:val="00E10EFD"/>
    <w:pPr>
      <w:ind w:left="288" w:hanging="288"/>
    </w:pPr>
  </w:style>
  <w:style w:type="paragraph" w:customStyle="1" w:styleId="sc-SubHeading">
    <w:name w:val="sc-SubHeading"/>
    <w:basedOn w:val="Normal"/>
    <w:rsid w:val="00E10EFD"/>
    <w:pPr>
      <w:spacing w:before="120"/>
    </w:pPr>
    <w:rPr>
      <w:rFonts w:asciiTheme="majorHAnsi" w:eastAsia="Times New Roman" w:hAnsiTheme="majorHAnsi" w:cstheme="majorHAns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Walker</cp:lastModifiedBy>
  <cp:revision>2</cp:revision>
  <cp:lastPrinted>2018-10-09T00:03:00Z</cp:lastPrinted>
  <dcterms:created xsi:type="dcterms:W3CDTF">2018-10-17T18:35:00Z</dcterms:created>
  <dcterms:modified xsi:type="dcterms:W3CDTF">2018-10-17T18:35:00Z</dcterms:modified>
</cp:coreProperties>
</file>