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A33" w:rsidRDefault="00205CA9" w:rsidP="00962A33">
      <w:pPr>
        <w:pStyle w:val="Header"/>
        <w:jc w:val="center"/>
      </w:pPr>
      <w:bookmarkStart w:id="0" w:name="_GoBack"/>
      <w:bookmarkEnd w:id="0"/>
      <w:r>
        <w:rPr>
          <w:noProof/>
        </w:rPr>
        <w:drawing>
          <wp:inline distT="0" distB="0" distL="0" distR="0" wp14:anchorId="78BFC1A0" wp14:editId="6F740EDC">
            <wp:extent cx="2366408" cy="765544"/>
            <wp:effectExtent l="0" t="0" r="0" b="0"/>
            <wp:docPr id="2" name="Picture 2" descr="C:\Users\kboyum\AppData\Local\Microsoft\Windows\Temporary Internet Files\Content.Outlook\RY98HXQU\CSUDH-RGB-Logo-Name-1-Line-White-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oyum\AppData\Local\Microsoft\Windows\Temporary Internet Files\Content.Outlook\RY98HXQU\CSUDH-RGB-Logo-Name-1-Line-White-Back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1386" cy="776859"/>
                    </a:xfrm>
                    <a:prstGeom prst="rect">
                      <a:avLst/>
                    </a:prstGeom>
                    <a:noFill/>
                    <a:ln>
                      <a:noFill/>
                    </a:ln>
                  </pic:spPr>
                </pic:pic>
              </a:graphicData>
            </a:graphic>
          </wp:inline>
        </w:drawing>
      </w:r>
    </w:p>
    <w:p w:rsidR="00962A33" w:rsidRPr="00D15B7F" w:rsidRDefault="00962A33" w:rsidP="00962A33">
      <w:pPr>
        <w:jc w:val="center"/>
        <w:outlineLvl w:val="0"/>
        <w:rPr>
          <w:rFonts w:ascii="Arial" w:hAnsi="Arial" w:cs="Arial"/>
          <w:b/>
          <w:sz w:val="20"/>
        </w:rPr>
      </w:pPr>
    </w:p>
    <w:p w:rsidR="00962A33" w:rsidRDefault="00962A33" w:rsidP="00962A33">
      <w:pPr>
        <w:jc w:val="center"/>
        <w:outlineLvl w:val="0"/>
        <w:rPr>
          <w:sz w:val="20"/>
        </w:rPr>
      </w:pPr>
      <w:r w:rsidRPr="00542BBE">
        <w:rPr>
          <w:sz w:val="20"/>
        </w:rPr>
        <w:t xml:space="preserve">Academic Senate </w:t>
      </w:r>
      <w:r w:rsidRPr="00542BBE">
        <w:rPr>
          <w:sz w:val="20"/>
        </w:rPr>
        <w:sym w:font="Wingdings" w:char="F09F"/>
      </w:r>
      <w:r w:rsidRPr="00542BBE">
        <w:rPr>
          <w:sz w:val="20"/>
        </w:rPr>
        <w:t xml:space="preserve">1000 E. Victoria </w:t>
      </w:r>
      <w:r w:rsidRPr="00542BBE">
        <w:rPr>
          <w:sz w:val="20"/>
        </w:rPr>
        <w:sym w:font="Wingdings" w:char="F09F"/>
      </w:r>
      <w:r w:rsidRPr="00542BBE">
        <w:rPr>
          <w:sz w:val="20"/>
        </w:rPr>
        <w:t xml:space="preserve"> Carson, CA 90747 </w:t>
      </w:r>
      <w:r w:rsidRPr="00542BBE">
        <w:rPr>
          <w:sz w:val="20"/>
        </w:rPr>
        <w:sym w:font="Wingdings" w:char="F09F"/>
      </w:r>
      <w:r w:rsidRPr="00542BBE">
        <w:rPr>
          <w:sz w:val="20"/>
        </w:rPr>
        <w:t xml:space="preserve"> </w:t>
      </w:r>
      <w:r>
        <w:rPr>
          <w:sz w:val="20"/>
        </w:rPr>
        <w:t xml:space="preserve">WH-A420 </w:t>
      </w:r>
      <w:r w:rsidRPr="00542BBE">
        <w:rPr>
          <w:sz w:val="20"/>
        </w:rPr>
        <w:sym w:font="Wingdings" w:char="F09F"/>
      </w:r>
      <w:r w:rsidRPr="00542BBE">
        <w:rPr>
          <w:sz w:val="20"/>
        </w:rPr>
        <w:t xml:space="preserve"> (310) 243-3312 </w:t>
      </w:r>
    </w:p>
    <w:p w:rsidR="000F5602" w:rsidRPr="00542BBE" w:rsidRDefault="000F5602" w:rsidP="00962A33">
      <w:pPr>
        <w:jc w:val="center"/>
        <w:outlineLvl w:val="0"/>
        <w:rPr>
          <w:sz w:val="20"/>
        </w:rPr>
      </w:pPr>
    </w:p>
    <w:p w:rsidR="00A81C90" w:rsidRPr="00635D50" w:rsidRDefault="00A81C90" w:rsidP="00A81C90">
      <w:pPr>
        <w:rPr>
          <w:b/>
          <w:color w:val="1D1D1D"/>
          <w:sz w:val="24"/>
          <w:szCs w:val="24"/>
          <w:lang w:val="en"/>
        </w:rPr>
      </w:pPr>
      <w:r w:rsidRPr="00635D50">
        <w:rPr>
          <w:b/>
          <w:color w:val="1D1D1D"/>
          <w:sz w:val="24"/>
          <w:szCs w:val="24"/>
          <w:lang w:val="en"/>
        </w:rPr>
        <w:t>Charge</w:t>
      </w:r>
    </w:p>
    <w:p w:rsidR="002E1340" w:rsidRPr="00635D50" w:rsidRDefault="002E1340" w:rsidP="00A81C90">
      <w:pPr>
        <w:rPr>
          <w:color w:val="1D1D1D"/>
          <w:sz w:val="24"/>
          <w:szCs w:val="24"/>
          <w:lang w:val="en"/>
        </w:rPr>
      </w:pPr>
      <w:r w:rsidRPr="00635D50">
        <w:rPr>
          <w:color w:val="1D1D1D"/>
          <w:sz w:val="24"/>
          <w:szCs w:val="24"/>
          <w:lang w:val="en"/>
        </w:rPr>
        <w:t xml:space="preserve">The Educational Policy Committee (EPC) is the primary advisory body to the Academic Senate in matters pertaining to the educational policies of the university. The EPC shall review, evaluate, and make recommendations to the Academic Senate regarding all new and existing policies and statements governing graduate and undergraduate curriculum, academic programs, academic standards, and educational policy, and may initiate recommendations for change for the successful implementation of those policies. </w:t>
      </w:r>
    </w:p>
    <w:p w:rsidR="002E1340" w:rsidRPr="00635D50" w:rsidRDefault="002E1340" w:rsidP="00A81C90">
      <w:pPr>
        <w:rPr>
          <w:color w:val="1D1D1D"/>
          <w:sz w:val="24"/>
          <w:szCs w:val="24"/>
          <w:lang w:val="en"/>
        </w:rPr>
      </w:pPr>
    </w:p>
    <w:p w:rsidR="00A81C90" w:rsidRPr="00635D50" w:rsidRDefault="00A81C90" w:rsidP="00A81C90">
      <w:pPr>
        <w:rPr>
          <w:color w:val="1D1D1D"/>
          <w:sz w:val="24"/>
          <w:szCs w:val="24"/>
          <w:lang w:val="en"/>
        </w:rPr>
      </w:pPr>
      <w:r w:rsidRPr="00635D50">
        <w:rPr>
          <w:b/>
          <w:color w:val="1D1D1D"/>
          <w:sz w:val="24"/>
          <w:szCs w:val="24"/>
          <w:lang w:val="en"/>
        </w:rPr>
        <w:t>Membership</w:t>
      </w:r>
      <w:r w:rsidRPr="00635D50">
        <w:rPr>
          <w:color w:val="1D1D1D"/>
          <w:sz w:val="24"/>
          <w:szCs w:val="24"/>
          <w:lang w:val="e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690"/>
      </w:tblGrid>
      <w:tr w:rsidR="00A81C90" w:rsidRPr="00635D50" w:rsidTr="002E1340">
        <w:tc>
          <w:tcPr>
            <w:tcW w:w="4670" w:type="dxa"/>
          </w:tcPr>
          <w:p w:rsidR="00A81C90" w:rsidRPr="00635D50" w:rsidRDefault="002E1340" w:rsidP="006B0771">
            <w:pPr>
              <w:pStyle w:val="ListParagraph"/>
              <w:numPr>
                <w:ilvl w:val="0"/>
                <w:numId w:val="8"/>
              </w:numPr>
              <w:rPr>
                <w:rFonts w:ascii="Times New Roman" w:hAnsi="Times New Roman" w:cs="Times New Roman"/>
                <w:color w:val="1D1D1D"/>
                <w:sz w:val="24"/>
                <w:szCs w:val="24"/>
                <w:lang w:val="en"/>
              </w:rPr>
            </w:pPr>
            <w:r w:rsidRPr="00635D50">
              <w:rPr>
                <w:rFonts w:ascii="Times New Roman" w:hAnsi="Times New Roman" w:cs="Times New Roman"/>
                <w:sz w:val="24"/>
                <w:szCs w:val="24"/>
              </w:rPr>
              <w:t>Enrique Ortega</w:t>
            </w:r>
            <w:r w:rsidR="00A81C90" w:rsidRPr="00635D50">
              <w:rPr>
                <w:rFonts w:ascii="Times New Roman" w:hAnsi="Times New Roman" w:cs="Times New Roman"/>
                <w:color w:val="1D1D1D"/>
                <w:sz w:val="24"/>
                <w:szCs w:val="24"/>
                <w:lang w:val="en"/>
              </w:rPr>
              <w:t xml:space="preserve">, Chair </w:t>
            </w:r>
          </w:p>
        </w:tc>
        <w:tc>
          <w:tcPr>
            <w:tcW w:w="4690" w:type="dxa"/>
          </w:tcPr>
          <w:p w:rsidR="00A81C90" w:rsidRPr="00635D50" w:rsidRDefault="002E1340" w:rsidP="00A81C90">
            <w:pPr>
              <w:pStyle w:val="ListParagraph"/>
              <w:numPr>
                <w:ilvl w:val="0"/>
                <w:numId w:val="8"/>
              </w:numPr>
              <w:rPr>
                <w:rFonts w:ascii="Times New Roman" w:hAnsi="Times New Roman" w:cs="Times New Roman"/>
                <w:sz w:val="24"/>
                <w:szCs w:val="24"/>
              </w:rPr>
            </w:pPr>
            <w:proofErr w:type="spellStart"/>
            <w:r w:rsidRPr="00635D50">
              <w:rPr>
                <w:rFonts w:ascii="Times New Roman" w:hAnsi="Times New Roman" w:cs="Times New Roman"/>
                <w:sz w:val="24"/>
                <w:szCs w:val="24"/>
              </w:rPr>
              <w:t>Nop</w:t>
            </w:r>
            <w:proofErr w:type="spellEnd"/>
            <w:r w:rsidRPr="00635D50">
              <w:rPr>
                <w:rFonts w:ascii="Times New Roman" w:hAnsi="Times New Roman" w:cs="Times New Roman"/>
                <w:sz w:val="24"/>
                <w:szCs w:val="24"/>
              </w:rPr>
              <w:t xml:space="preserve"> </w:t>
            </w:r>
            <w:proofErr w:type="spellStart"/>
            <w:r w:rsidRPr="00635D50">
              <w:rPr>
                <w:rFonts w:ascii="Times New Roman" w:hAnsi="Times New Roman" w:cs="Times New Roman"/>
                <w:sz w:val="24"/>
                <w:szCs w:val="24"/>
              </w:rPr>
              <w:t>Ratanasiripong</w:t>
            </w:r>
            <w:proofErr w:type="spellEnd"/>
            <w:r w:rsidR="006B0771">
              <w:rPr>
                <w:rFonts w:ascii="Times New Roman" w:hAnsi="Times New Roman" w:cs="Times New Roman"/>
                <w:sz w:val="24"/>
                <w:szCs w:val="24"/>
              </w:rPr>
              <w:t xml:space="preserve"> (CHHSN)</w:t>
            </w:r>
          </w:p>
        </w:tc>
      </w:tr>
      <w:tr w:rsidR="00A81C90" w:rsidRPr="00635D50" w:rsidTr="002E1340">
        <w:tc>
          <w:tcPr>
            <w:tcW w:w="4670" w:type="dxa"/>
          </w:tcPr>
          <w:p w:rsidR="00A81C90" w:rsidRPr="00635D50" w:rsidRDefault="002E1340" w:rsidP="00A81C90">
            <w:pPr>
              <w:pStyle w:val="ListParagraph"/>
              <w:numPr>
                <w:ilvl w:val="0"/>
                <w:numId w:val="8"/>
              </w:numPr>
              <w:rPr>
                <w:rFonts w:ascii="Times New Roman" w:hAnsi="Times New Roman" w:cs="Times New Roman"/>
                <w:sz w:val="24"/>
                <w:szCs w:val="24"/>
              </w:rPr>
            </w:pPr>
            <w:r w:rsidRPr="00635D50">
              <w:rPr>
                <w:rFonts w:ascii="Times New Roman" w:hAnsi="Times New Roman" w:cs="Times New Roman"/>
                <w:sz w:val="24"/>
                <w:szCs w:val="24"/>
              </w:rPr>
              <w:t>Salvatore Russo</w:t>
            </w:r>
            <w:r w:rsidR="006B0771">
              <w:rPr>
                <w:rFonts w:ascii="Times New Roman" w:hAnsi="Times New Roman" w:cs="Times New Roman"/>
                <w:sz w:val="24"/>
                <w:szCs w:val="24"/>
              </w:rPr>
              <w:t xml:space="preserve"> (CNBS)</w:t>
            </w:r>
          </w:p>
        </w:tc>
        <w:tc>
          <w:tcPr>
            <w:tcW w:w="4690" w:type="dxa"/>
          </w:tcPr>
          <w:p w:rsidR="00A81C90" w:rsidRPr="00635D50" w:rsidRDefault="002E1340" w:rsidP="00A81C90">
            <w:pPr>
              <w:pStyle w:val="ListParagraph"/>
              <w:numPr>
                <w:ilvl w:val="0"/>
                <w:numId w:val="8"/>
              </w:numPr>
              <w:rPr>
                <w:rFonts w:ascii="Times New Roman" w:hAnsi="Times New Roman" w:cs="Times New Roman"/>
                <w:sz w:val="24"/>
                <w:szCs w:val="24"/>
              </w:rPr>
            </w:pPr>
            <w:r w:rsidRPr="00635D50">
              <w:rPr>
                <w:rFonts w:ascii="Times New Roman" w:hAnsi="Times New Roman" w:cs="Times New Roman"/>
                <w:sz w:val="24"/>
                <w:szCs w:val="24"/>
              </w:rPr>
              <w:t>Thomas Philo</w:t>
            </w:r>
            <w:r w:rsidR="006B0771">
              <w:rPr>
                <w:rFonts w:ascii="Times New Roman" w:hAnsi="Times New Roman" w:cs="Times New Roman"/>
                <w:sz w:val="24"/>
                <w:szCs w:val="24"/>
              </w:rPr>
              <w:t xml:space="preserve"> (Library)</w:t>
            </w:r>
          </w:p>
        </w:tc>
      </w:tr>
      <w:tr w:rsidR="00A81C90" w:rsidRPr="00635D50" w:rsidTr="002E1340">
        <w:tc>
          <w:tcPr>
            <w:tcW w:w="4670" w:type="dxa"/>
          </w:tcPr>
          <w:p w:rsidR="006B0771" w:rsidRPr="006B0771" w:rsidRDefault="002E1340" w:rsidP="006B0771">
            <w:pPr>
              <w:pStyle w:val="ListParagraph"/>
              <w:numPr>
                <w:ilvl w:val="0"/>
                <w:numId w:val="8"/>
              </w:numPr>
              <w:rPr>
                <w:rFonts w:ascii="Times New Roman" w:hAnsi="Times New Roman" w:cs="Times New Roman"/>
                <w:sz w:val="24"/>
                <w:szCs w:val="24"/>
              </w:rPr>
            </w:pPr>
            <w:proofErr w:type="spellStart"/>
            <w:r w:rsidRPr="00635D50">
              <w:rPr>
                <w:rFonts w:ascii="Times New Roman" w:hAnsi="Times New Roman" w:cs="Times New Roman"/>
                <w:color w:val="1D1D1D"/>
                <w:sz w:val="24"/>
                <w:szCs w:val="24"/>
                <w:lang w:val="en"/>
              </w:rPr>
              <w:t>Fahimeh</w:t>
            </w:r>
            <w:proofErr w:type="spellEnd"/>
            <w:r w:rsidRPr="00635D50">
              <w:rPr>
                <w:rFonts w:ascii="Times New Roman" w:hAnsi="Times New Roman" w:cs="Times New Roman"/>
                <w:color w:val="1D1D1D"/>
                <w:sz w:val="24"/>
                <w:szCs w:val="24"/>
                <w:lang w:val="en"/>
              </w:rPr>
              <w:t xml:space="preserve"> </w:t>
            </w:r>
            <w:proofErr w:type="spellStart"/>
            <w:r w:rsidRPr="00635D50">
              <w:rPr>
                <w:rFonts w:ascii="Times New Roman" w:hAnsi="Times New Roman" w:cs="Times New Roman"/>
                <w:color w:val="1D1D1D"/>
                <w:sz w:val="24"/>
                <w:szCs w:val="24"/>
                <w:lang w:val="en"/>
              </w:rPr>
              <w:t>Rezayat</w:t>
            </w:r>
            <w:proofErr w:type="spellEnd"/>
            <w:r w:rsidR="006B0771">
              <w:rPr>
                <w:rFonts w:ascii="Times New Roman" w:hAnsi="Times New Roman" w:cs="Times New Roman"/>
                <w:color w:val="1D1D1D"/>
                <w:sz w:val="24"/>
                <w:szCs w:val="24"/>
                <w:lang w:val="en"/>
              </w:rPr>
              <w:t xml:space="preserve"> (CBAP)</w:t>
            </w:r>
          </w:p>
          <w:p w:rsidR="006B0771" w:rsidRPr="006B0771" w:rsidRDefault="006B0771" w:rsidP="006B0771">
            <w:pPr>
              <w:pStyle w:val="ListParagraph"/>
              <w:numPr>
                <w:ilvl w:val="0"/>
                <w:numId w:val="8"/>
              </w:numPr>
              <w:rPr>
                <w:rFonts w:ascii="Times New Roman" w:hAnsi="Times New Roman" w:cs="Times New Roman"/>
                <w:sz w:val="24"/>
                <w:szCs w:val="24"/>
              </w:rPr>
            </w:pPr>
            <w:r w:rsidRPr="006B0771">
              <w:rPr>
                <w:rFonts w:ascii="Times New Roman" w:hAnsi="Times New Roman" w:cs="Times New Roman"/>
                <w:sz w:val="24"/>
                <w:szCs w:val="24"/>
              </w:rPr>
              <w:t>Ex Officio</w:t>
            </w:r>
            <w:r>
              <w:rPr>
                <w:rFonts w:ascii="Times New Roman" w:hAnsi="Times New Roman" w:cs="Times New Roman"/>
                <w:sz w:val="24"/>
                <w:szCs w:val="24"/>
              </w:rPr>
              <w:t xml:space="preserve"> members</w:t>
            </w:r>
            <w:r w:rsidRPr="006B0771">
              <w:rPr>
                <w:rFonts w:ascii="Times New Roman" w:hAnsi="Times New Roman" w:cs="Times New Roman"/>
                <w:sz w:val="24"/>
                <w:szCs w:val="24"/>
              </w:rPr>
              <w:t>: Ken O'Donnell, Hamoud Salhi, Claudia Peyton</w:t>
            </w:r>
          </w:p>
          <w:p w:rsidR="006B0771" w:rsidRPr="00635D50" w:rsidRDefault="006B0771" w:rsidP="006B0771">
            <w:pPr>
              <w:rPr>
                <w:rFonts w:ascii="Times New Roman" w:hAnsi="Times New Roman" w:cs="Times New Roman"/>
                <w:sz w:val="24"/>
                <w:szCs w:val="24"/>
              </w:rPr>
            </w:pPr>
          </w:p>
        </w:tc>
        <w:tc>
          <w:tcPr>
            <w:tcW w:w="4690" w:type="dxa"/>
          </w:tcPr>
          <w:p w:rsidR="00A81C90" w:rsidRPr="00635D50" w:rsidRDefault="002E1340" w:rsidP="00A81C90">
            <w:pPr>
              <w:pStyle w:val="ListParagraph"/>
              <w:numPr>
                <w:ilvl w:val="0"/>
                <w:numId w:val="8"/>
              </w:numPr>
              <w:rPr>
                <w:rFonts w:ascii="Times New Roman" w:hAnsi="Times New Roman" w:cs="Times New Roman"/>
                <w:sz w:val="24"/>
                <w:szCs w:val="24"/>
              </w:rPr>
            </w:pPr>
            <w:r w:rsidRPr="00635D50">
              <w:rPr>
                <w:rFonts w:ascii="Times New Roman" w:hAnsi="Times New Roman" w:cs="Times New Roman"/>
                <w:color w:val="1D1D1D"/>
                <w:sz w:val="24"/>
                <w:szCs w:val="24"/>
                <w:lang w:val="en"/>
              </w:rPr>
              <w:t xml:space="preserve">Irene U. </w:t>
            </w:r>
            <w:proofErr w:type="spellStart"/>
            <w:r w:rsidRPr="00635D50">
              <w:rPr>
                <w:rFonts w:ascii="Times New Roman" w:hAnsi="Times New Roman" w:cs="Times New Roman"/>
                <w:color w:val="1D1D1D"/>
                <w:sz w:val="24"/>
                <w:szCs w:val="24"/>
                <w:lang w:val="en"/>
              </w:rPr>
              <w:t>Osisioma</w:t>
            </w:r>
            <w:proofErr w:type="spellEnd"/>
            <w:r w:rsidR="006B0771">
              <w:rPr>
                <w:rFonts w:ascii="Times New Roman" w:hAnsi="Times New Roman" w:cs="Times New Roman"/>
                <w:color w:val="1D1D1D"/>
                <w:sz w:val="24"/>
                <w:szCs w:val="24"/>
                <w:lang w:val="en"/>
              </w:rPr>
              <w:t xml:space="preserve"> (COE)</w:t>
            </w:r>
          </w:p>
        </w:tc>
      </w:tr>
    </w:tbl>
    <w:p w:rsidR="00A81C90" w:rsidRPr="00635D50" w:rsidRDefault="00A81C90" w:rsidP="00A81C90">
      <w:pPr>
        <w:rPr>
          <w:sz w:val="24"/>
          <w:szCs w:val="24"/>
        </w:rPr>
      </w:pPr>
      <w:r w:rsidRPr="00635D50">
        <w:rPr>
          <w:b/>
          <w:sz w:val="24"/>
          <w:szCs w:val="24"/>
        </w:rPr>
        <w:t>Meetings</w:t>
      </w:r>
      <w:r w:rsidRPr="00635D50">
        <w:rP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8"/>
      </w:tblGrid>
      <w:tr w:rsidR="00A81C90" w:rsidRPr="00635D50" w:rsidTr="00485476">
        <w:tc>
          <w:tcPr>
            <w:tcW w:w="4788" w:type="dxa"/>
          </w:tcPr>
          <w:p w:rsidR="00A81C90" w:rsidRPr="00635D50" w:rsidRDefault="00A81C90" w:rsidP="00BE0948">
            <w:pPr>
              <w:rPr>
                <w:rFonts w:ascii="Times New Roman" w:hAnsi="Times New Roman" w:cs="Times New Roman"/>
                <w:sz w:val="24"/>
                <w:szCs w:val="24"/>
              </w:rPr>
            </w:pPr>
            <w:r w:rsidRPr="00635D50">
              <w:rPr>
                <w:rFonts w:ascii="Times New Roman" w:hAnsi="Times New Roman" w:cs="Times New Roman"/>
                <w:sz w:val="24"/>
                <w:szCs w:val="24"/>
              </w:rPr>
              <w:t>Fall 201</w:t>
            </w:r>
            <w:r w:rsidR="00BE0948" w:rsidRPr="00635D50">
              <w:rPr>
                <w:rFonts w:ascii="Times New Roman" w:hAnsi="Times New Roman" w:cs="Times New Roman"/>
                <w:sz w:val="24"/>
                <w:szCs w:val="24"/>
              </w:rPr>
              <w:t>7</w:t>
            </w:r>
            <w:r w:rsidRPr="00635D50">
              <w:rPr>
                <w:rFonts w:ascii="Times New Roman" w:hAnsi="Times New Roman" w:cs="Times New Roman"/>
                <w:sz w:val="24"/>
                <w:szCs w:val="24"/>
              </w:rPr>
              <w:t>:</w:t>
            </w:r>
          </w:p>
        </w:tc>
        <w:tc>
          <w:tcPr>
            <w:tcW w:w="4788" w:type="dxa"/>
          </w:tcPr>
          <w:p w:rsidR="00A81C90" w:rsidRPr="00635D50" w:rsidRDefault="00A81C90" w:rsidP="00BE0948">
            <w:pPr>
              <w:rPr>
                <w:rFonts w:ascii="Times New Roman" w:hAnsi="Times New Roman" w:cs="Times New Roman"/>
                <w:sz w:val="24"/>
                <w:szCs w:val="24"/>
              </w:rPr>
            </w:pPr>
            <w:r w:rsidRPr="00635D50">
              <w:rPr>
                <w:rFonts w:ascii="Times New Roman" w:hAnsi="Times New Roman" w:cs="Times New Roman"/>
                <w:sz w:val="24"/>
                <w:szCs w:val="24"/>
              </w:rPr>
              <w:t>Spring 201</w:t>
            </w:r>
            <w:r w:rsidR="00BE0948" w:rsidRPr="00635D50">
              <w:rPr>
                <w:rFonts w:ascii="Times New Roman" w:hAnsi="Times New Roman" w:cs="Times New Roman"/>
                <w:sz w:val="24"/>
                <w:szCs w:val="24"/>
              </w:rPr>
              <w:t>8</w:t>
            </w:r>
            <w:r w:rsidRPr="00635D50">
              <w:rPr>
                <w:rFonts w:ascii="Times New Roman" w:hAnsi="Times New Roman" w:cs="Times New Roman"/>
                <w:sz w:val="24"/>
                <w:szCs w:val="24"/>
              </w:rPr>
              <w:t>:</w:t>
            </w:r>
          </w:p>
        </w:tc>
      </w:tr>
      <w:tr w:rsidR="00A81C90" w:rsidRPr="00635D50" w:rsidTr="00485476">
        <w:tc>
          <w:tcPr>
            <w:tcW w:w="4788" w:type="dxa"/>
          </w:tcPr>
          <w:p w:rsidR="00A81C90" w:rsidRPr="00635D50" w:rsidRDefault="00A81C90" w:rsidP="00BE0948">
            <w:pPr>
              <w:pStyle w:val="ListParagraph"/>
              <w:numPr>
                <w:ilvl w:val="0"/>
                <w:numId w:val="10"/>
              </w:numPr>
              <w:rPr>
                <w:rFonts w:ascii="Times New Roman" w:hAnsi="Times New Roman" w:cs="Times New Roman"/>
                <w:sz w:val="24"/>
                <w:szCs w:val="24"/>
              </w:rPr>
            </w:pPr>
            <w:r w:rsidRPr="00635D50">
              <w:rPr>
                <w:rFonts w:ascii="Times New Roman" w:hAnsi="Times New Roman" w:cs="Times New Roman"/>
                <w:sz w:val="24"/>
                <w:szCs w:val="24"/>
              </w:rPr>
              <w:t>9/</w:t>
            </w:r>
            <w:r w:rsidR="00BE0948" w:rsidRPr="00635D50">
              <w:rPr>
                <w:rFonts w:ascii="Times New Roman" w:hAnsi="Times New Roman" w:cs="Times New Roman"/>
                <w:sz w:val="24"/>
                <w:szCs w:val="24"/>
              </w:rPr>
              <w:t>05</w:t>
            </w:r>
            <w:r w:rsidRPr="00635D50">
              <w:rPr>
                <w:rFonts w:ascii="Times New Roman" w:hAnsi="Times New Roman" w:cs="Times New Roman"/>
                <w:sz w:val="24"/>
                <w:szCs w:val="24"/>
              </w:rPr>
              <w:t>/201</w:t>
            </w:r>
            <w:r w:rsidR="00BE0948" w:rsidRPr="00635D50">
              <w:rPr>
                <w:rFonts w:ascii="Times New Roman" w:hAnsi="Times New Roman" w:cs="Times New Roman"/>
                <w:sz w:val="24"/>
                <w:szCs w:val="24"/>
              </w:rPr>
              <w:t>7</w:t>
            </w:r>
          </w:p>
        </w:tc>
        <w:tc>
          <w:tcPr>
            <w:tcW w:w="4788" w:type="dxa"/>
          </w:tcPr>
          <w:p w:rsidR="00A81C90" w:rsidRPr="00635D50" w:rsidRDefault="00635D50" w:rsidP="00635D50">
            <w:pPr>
              <w:pStyle w:val="ListParagraph"/>
              <w:numPr>
                <w:ilvl w:val="0"/>
                <w:numId w:val="9"/>
              </w:numPr>
              <w:rPr>
                <w:rFonts w:ascii="Times New Roman" w:hAnsi="Times New Roman" w:cs="Times New Roman"/>
                <w:sz w:val="24"/>
                <w:szCs w:val="24"/>
              </w:rPr>
            </w:pPr>
            <w:r w:rsidRPr="00635D50">
              <w:rPr>
                <w:rFonts w:ascii="Times New Roman" w:hAnsi="Times New Roman" w:cs="Times New Roman"/>
                <w:sz w:val="24"/>
                <w:szCs w:val="24"/>
              </w:rPr>
              <w:t>1</w:t>
            </w:r>
            <w:r w:rsidR="00A81C90" w:rsidRPr="00635D50">
              <w:rPr>
                <w:rFonts w:ascii="Times New Roman" w:hAnsi="Times New Roman" w:cs="Times New Roman"/>
                <w:sz w:val="24"/>
                <w:szCs w:val="24"/>
              </w:rPr>
              <w:t>/</w:t>
            </w:r>
            <w:r w:rsidRPr="00635D50">
              <w:rPr>
                <w:rFonts w:ascii="Times New Roman" w:hAnsi="Times New Roman" w:cs="Times New Roman"/>
                <w:sz w:val="24"/>
                <w:szCs w:val="24"/>
              </w:rPr>
              <w:t>30</w:t>
            </w:r>
            <w:r w:rsidR="00A81C90" w:rsidRPr="00635D50">
              <w:rPr>
                <w:rFonts w:ascii="Times New Roman" w:hAnsi="Times New Roman" w:cs="Times New Roman"/>
                <w:sz w:val="24"/>
                <w:szCs w:val="24"/>
              </w:rPr>
              <w:t>/201</w:t>
            </w:r>
            <w:r w:rsidRPr="00635D50">
              <w:rPr>
                <w:rFonts w:ascii="Times New Roman" w:hAnsi="Times New Roman" w:cs="Times New Roman"/>
                <w:sz w:val="24"/>
                <w:szCs w:val="24"/>
              </w:rPr>
              <w:t>8</w:t>
            </w:r>
          </w:p>
        </w:tc>
      </w:tr>
      <w:tr w:rsidR="00A81C90" w:rsidRPr="00635D50" w:rsidTr="00485476">
        <w:tc>
          <w:tcPr>
            <w:tcW w:w="4788" w:type="dxa"/>
          </w:tcPr>
          <w:p w:rsidR="00A81C90" w:rsidRPr="00635D50" w:rsidRDefault="00A81C90" w:rsidP="00BE0948">
            <w:pPr>
              <w:pStyle w:val="ListParagraph"/>
              <w:numPr>
                <w:ilvl w:val="0"/>
                <w:numId w:val="10"/>
              </w:numPr>
              <w:rPr>
                <w:rFonts w:ascii="Times New Roman" w:hAnsi="Times New Roman" w:cs="Times New Roman"/>
                <w:sz w:val="24"/>
                <w:szCs w:val="24"/>
              </w:rPr>
            </w:pPr>
            <w:r w:rsidRPr="00635D50">
              <w:rPr>
                <w:rFonts w:ascii="Times New Roman" w:hAnsi="Times New Roman" w:cs="Times New Roman"/>
                <w:sz w:val="24"/>
                <w:szCs w:val="24"/>
              </w:rPr>
              <w:t>9/</w:t>
            </w:r>
            <w:r w:rsidR="00BE0948" w:rsidRPr="00635D50">
              <w:rPr>
                <w:rFonts w:ascii="Times New Roman" w:hAnsi="Times New Roman" w:cs="Times New Roman"/>
                <w:sz w:val="24"/>
                <w:szCs w:val="24"/>
              </w:rPr>
              <w:t>19</w:t>
            </w:r>
            <w:r w:rsidRPr="00635D50">
              <w:rPr>
                <w:rFonts w:ascii="Times New Roman" w:hAnsi="Times New Roman" w:cs="Times New Roman"/>
                <w:sz w:val="24"/>
                <w:szCs w:val="24"/>
              </w:rPr>
              <w:t>/201</w:t>
            </w:r>
            <w:r w:rsidR="00BE0948" w:rsidRPr="00635D50">
              <w:rPr>
                <w:rFonts w:ascii="Times New Roman" w:hAnsi="Times New Roman" w:cs="Times New Roman"/>
                <w:sz w:val="24"/>
                <w:szCs w:val="24"/>
              </w:rPr>
              <w:t>7</w:t>
            </w:r>
          </w:p>
        </w:tc>
        <w:tc>
          <w:tcPr>
            <w:tcW w:w="4788" w:type="dxa"/>
          </w:tcPr>
          <w:p w:rsidR="00A81C90" w:rsidRPr="00635D50" w:rsidRDefault="00A81C90" w:rsidP="00635D50">
            <w:pPr>
              <w:pStyle w:val="ListParagraph"/>
              <w:numPr>
                <w:ilvl w:val="0"/>
                <w:numId w:val="9"/>
              </w:numPr>
              <w:rPr>
                <w:rFonts w:ascii="Times New Roman" w:hAnsi="Times New Roman" w:cs="Times New Roman"/>
                <w:sz w:val="24"/>
                <w:szCs w:val="24"/>
              </w:rPr>
            </w:pPr>
            <w:r w:rsidRPr="00635D50">
              <w:rPr>
                <w:rFonts w:ascii="Times New Roman" w:hAnsi="Times New Roman" w:cs="Times New Roman"/>
                <w:sz w:val="24"/>
                <w:szCs w:val="24"/>
              </w:rPr>
              <w:t>2/2</w:t>
            </w:r>
            <w:r w:rsidR="00635D50" w:rsidRPr="00635D50">
              <w:rPr>
                <w:rFonts w:ascii="Times New Roman" w:hAnsi="Times New Roman" w:cs="Times New Roman"/>
                <w:sz w:val="24"/>
                <w:szCs w:val="24"/>
              </w:rPr>
              <w:t>7</w:t>
            </w:r>
            <w:r w:rsidRPr="00635D50">
              <w:rPr>
                <w:rFonts w:ascii="Times New Roman" w:hAnsi="Times New Roman" w:cs="Times New Roman"/>
                <w:sz w:val="24"/>
                <w:szCs w:val="24"/>
              </w:rPr>
              <w:t>/201</w:t>
            </w:r>
            <w:r w:rsidR="00635D50" w:rsidRPr="00635D50">
              <w:rPr>
                <w:rFonts w:ascii="Times New Roman" w:hAnsi="Times New Roman" w:cs="Times New Roman"/>
                <w:sz w:val="24"/>
                <w:szCs w:val="24"/>
              </w:rPr>
              <w:t>8</w:t>
            </w:r>
          </w:p>
        </w:tc>
      </w:tr>
      <w:tr w:rsidR="00A81C90" w:rsidRPr="00635D50" w:rsidTr="00485476">
        <w:tc>
          <w:tcPr>
            <w:tcW w:w="4788" w:type="dxa"/>
          </w:tcPr>
          <w:p w:rsidR="00A81C90" w:rsidRPr="00635D50" w:rsidRDefault="00A81C90" w:rsidP="00BE0948">
            <w:pPr>
              <w:pStyle w:val="ListParagraph"/>
              <w:numPr>
                <w:ilvl w:val="0"/>
                <w:numId w:val="10"/>
              </w:numPr>
              <w:rPr>
                <w:rFonts w:ascii="Times New Roman" w:hAnsi="Times New Roman" w:cs="Times New Roman"/>
                <w:sz w:val="24"/>
                <w:szCs w:val="24"/>
              </w:rPr>
            </w:pPr>
            <w:r w:rsidRPr="00635D50">
              <w:rPr>
                <w:rFonts w:ascii="Times New Roman" w:hAnsi="Times New Roman" w:cs="Times New Roman"/>
                <w:sz w:val="24"/>
                <w:szCs w:val="24"/>
              </w:rPr>
              <w:t>10/</w:t>
            </w:r>
            <w:r w:rsidR="00BE0948" w:rsidRPr="00635D50">
              <w:rPr>
                <w:rFonts w:ascii="Times New Roman" w:hAnsi="Times New Roman" w:cs="Times New Roman"/>
                <w:sz w:val="24"/>
                <w:szCs w:val="24"/>
              </w:rPr>
              <w:t>03</w:t>
            </w:r>
            <w:r w:rsidRPr="00635D50">
              <w:rPr>
                <w:rFonts w:ascii="Times New Roman" w:hAnsi="Times New Roman" w:cs="Times New Roman"/>
                <w:sz w:val="24"/>
                <w:szCs w:val="24"/>
              </w:rPr>
              <w:t>/201</w:t>
            </w:r>
            <w:r w:rsidR="00BE0948" w:rsidRPr="00635D50">
              <w:rPr>
                <w:rFonts w:ascii="Times New Roman" w:hAnsi="Times New Roman" w:cs="Times New Roman"/>
                <w:sz w:val="24"/>
                <w:szCs w:val="24"/>
              </w:rPr>
              <w:t>7</w:t>
            </w:r>
          </w:p>
        </w:tc>
        <w:tc>
          <w:tcPr>
            <w:tcW w:w="4788" w:type="dxa"/>
          </w:tcPr>
          <w:p w:rsidR="00A81C90" w:rsidRPr="00635D50" w:rsidRDefault="00A81C90" w:rsidP="00635D50">
            <w:pPr>
              <w:pStyle w:val="ListParagraph"/>
              <w:numPr>
                <w:ilvl w:val="0"/>
                <w:numId w:val="9"/>
              </w:numPr>
              <w:rPr>
                <w:rFonts w:ascii="Times New Roman" w:hAnsi="Times New Roman" w:cs="Times New Roman"/>
                <w:sz w:val="24"/>
                <w:szCs w:val="24"/>
              </w:rPr>
            </w:pPr>
            <w:r w:rsidRPr="00635D50">
              <w:rPr>
                <w:rFonts w:ascii="Times New Roman" w:hAnsi="Times New Roman" w:cs="Times New Roman"/>
                <w:sz w:val="24"/>
                <w:szCs w:val="24"/>
              </w:rPr>
              <w:t>3/</w:t>
            </w:r>
            <w:r w:rsidR="00635D50" w:rsidRPr="00635D50">
              <w:rPr>
                <w:rFonts w:ascii="Times New Roman" w:hAnsi="Times New Roman" w:cs="Times New Roman"/>
                <w:sz w:val="24"/>
                <w:szCs w:val="24"/>
              </w:rPr>
              <w:t>13</w:t>
            </w:r>
            <w:r w:rsidRPr="00635D50">
              <w:rPr>
                <w:rFonts w:ascii="Times New Roman" w:hAnsi="Times New Roman" w:cs="Times New Roman"/>
                <w:sz w:val="24"/>
                <w:szCs w:val="24"/>
              </w:rPr>
              <w:t>/201</w:t>
            </w:r>
            <w:r w:rsidR="00635D50" w:rsidRPr="00635D50">
              <w:rPr>
                <w:rFonts w:ascii="Times New Roman" w:hAnsi="Times New Roman" w:cs="Times New Roman"/>
                <w:sz w:val="24"/>
                <w:szCs w:val="24"/>
              </w:rPr>
              <w:t>8</w:t>
            </w:r>
          </w:p>
        </w:tc>
      </w:tr>
      <w:tr w:rsidR="00A81C90" w:rsidRPr="00635D50" w:rsidTr="00485476">
        <w:tc>
          <w:tcPr>
            <w:tcW w:w="4788" w:type="dxa"/>
          </w:tcPr>
          <w:p w:rsidR="00A81C90" w:rsidRPr="00635D50" w:rsidRDefault="00A81C90" w:rsidP="00BE0948">
            <w:pPr>
              <w:pStyle w:val="ListParagraph"/>
              <w:numPr>
                <w:ilvl w:val="0"/>
                <w:numId w:val="10"/>
              </w:numPr>
              <w:rPr>
                <w:rFonts w:ascii="Times New Roman" w:hAnsi="Times New Roman" w:cs="Times New Roman"/>
                <w:sz w:val="24"/>
                <w:szCs w:val="24"/>
              </w:rPr>
            </w:pPr>
            <w:r w:rsidRPr="00635D50">
              <w:rPr>
                <w:rFonts w:ascii="Times New Roman" w:hAnsi="Times New Roman" w:cs="Times New Roman"/>
                <w:sz w:val="24"/>
                <w:szCs w:val="24"/>
              </w:rPr>
              <w:t>10/</w:t>
            </w:r>
            <w:r w:rsidR="00BE0948" w:rsidRPr="00635D50">
              <w:rPr>
                <w:rFonts w:ascii="Times New Roman" w:hAnsi="Times New Roman" w:cs="Times New Roman"/>
                <w:sz w:val="24"/>
                <w:szCs w:val="24"/>
              </w:rPr>
              <w:t>17</w:t>
            </w:r>
            <w:r w:rsidRPr="00635D50">
              <w:rPr>
                <w:rFonts w:ascii="Times New Roman" w:hAnsi="Times New Roman" w:cs="Times New Roman"/>
                <w:sz w:val="24"/>
                <w:szCs w:val="24"/>
              </w:rPr>
              <w:t>/201</w:t>
            </w:r>
            <w:r w:rsidR="00BE0948" w:rsidRPr="00635D50">
              <w:rPr>
                <w:rFonts w:ascii="Times New Roman" w:hAnsi="Times New Roman" w:cs="Times New Roman"/>
                <w:sz w:val="24"/>
                <w:szCs w:val="24"/>
              </w:rPr>
              <w:t>7</w:t>
            </w:r>
          </w:p>
        </w:tc>
        <w:tc>
          <w:tcPr>
            <w:tcW w:w="4788" w:type="dxa"/>
          </w:tcPr>
          <w:p w:rsidR="00A81C90" w:rsidRPr="00635D50" w:rsidRDefault="00A81C90" w:rsidP="00635D50">
            <w:pPr>
              <w:pStyle w:val="ListParagraph"/>
              <w:numPr>
                <w:ilvl w:val="0"/>
                <w:numId w:val="9"/>
              </w:numPr>
              <w:rPr>
                <w:rFonts w:ascii="Times New Roman" w:hAnsi="Times New Roman" w:cs="Times New Roman"/>
                <w:sz w:val="24"/>
                <w:szCs w:val="24"/>
              </w:rPr>
            </w:pPr>
            <w:r w:rsidRPr="00635D50">
              <w:rPr>
                <w:rFonts w:ascii="Times New Roman" w:hAnsi="Times New Roman" w:cs="Times New Roman"/>
                <w:sz w:val="24"/>
                <w:szCs w:val="24"/>
              </w:rPr>
              <w:t>4/</w:t>
            </w:r>
            <w:r w:rsidR="00635D50" w:rsidRPr="00635D50">
              <w:rPr>
                <w:rFonts w:ascii="Times New Roman" w:hAnsi="Times New Roman" w:cs="Times New Roman"/>
                <w:sz w:val="24"/>
                <w:szCs w:val="24"/>
              </w:rPr>
              <w:t>10</w:t>
            </w:r>
            <w:r w:rsidRPr="00635D50">
              <w:rPr>
                <w:rFonts w:ascii="Times New Roman" w:hAnsi="Times New Roman" w:cs="Times New Roman"/>
                <w:sz w:val="24"/>
                <w:szCs w:val="24"/>
              </w:rPr>
              <w:t>/201</w:t>
            </w:r>
            <w:r w:rsidR="00635D50" w:rsidRPr="00635D50">
              <w:rPr>
                <w:rFonts w:ascii="Times New Roman" w:hAnsi="Times New Roman" w:cs="Times New Roman"/>
                <w:sz w:val="24"/>
                <w:szCs w:val="24"/>
              </w:rPr>
              <w:t>8</w:t>
            </w:r>
          </w:p>
        </w:tc>
      </w:tr>
      <w:tr w:rsidR="00A81C90" w:rsidRPr="00635D50" w:rsidTr="00485476">
        <w:tc>
          <w:tcPr>
            <w:tcW w:w="4788" w:type="dxa"/>
          </w:tcPr>
          <w:p w:rsidR="00A81C90" w:rsidRPr="00635D50" w:rsidRDefault="00A81C90" w:rsidP="00BE0948">
            <w:pPr>
              <w:pStyle w:val="ListParagraph"/>
              <w:numPr>
                <w:ilvl w:val="0"/>
                <w:numId w:val="10"/>
              </w:numPr>
              <w:rPr>
                <w:rFonts w:ascii="Times New Roman" w:hAnsi="Times New Roman" w:cs="Times New Roman"/>
                <w:sz w:val="24"/>
                <w:szCs w:val="24"/>
              </w:rPr>
            </w:pPr>
            <w:r w:rsidRPr="00635D50">
              <w:rPr>
                <w:rFonts w:ascii="Times New Roman" w:hAnsi="Times New Roman" w:cs="Times New Roman"/>
                <w:sz w:val="24"/>
                <w:szCs w:val="24"/>
              </w:rPr>
              <w:t>1</w:t>
            </w:r>
            <w:r w:rsidR="00BE0948" w:rsidRPr="00635D50">
              <w:rPr>
                <w:rFonts w:ascii="Times New Roman" w:hAnsi="Times New Roman" w:cs="Times New Roman"/>
                <w:sz w:val="24"/>
                <w:szCs w:val="24"/>
              </w:rPr>
              <w:t>0</w:t>
            </w:r>
            <w:r w:rsidRPr="00635D50">
              <w:rPr>
                <w:rFonts w:ascii="Times New Roman" w:hAnsi="Times New Roman" w:cs="Times New Roman"/>
                <w:sz w:val="24"/>
                <w:szCs w:val="24"/>
              </w:rPr>
              <w:t>/</w:t>
            </w:r>
            <w:r w:rsidR="00BE0948" w:rsidRPr="00635D50">
              <w:rPr>
                <w:rFonts w:ascii="Times New Roman" w:hAnsi="Times New Roman" w:cs="Times New Roman"/>
                <w:sz w:val="24"/>
                <w:szCs w:val="24"/>
              </w:rPr>
              <w:t>31</w:t>
            </w:r>
            <w:r w:rsidRPr="00635D50">
              <w:rPr>
                <w:rFonts w:ascii="Times New Roman" w:hAnsi="Times New Roman" w:cs="Times New Roman"/>
                <w:sz w:val="24"/>
                <w:szCs w:val="24"/>
              </w:rPr>
              <w:t>/201</w:t>
            </w:r>
            <w:r w:rsidR="00BE0948" w:rsidRPr="00635D50">
              <w:rPr>
                <w:rFonts w:ascii="Times New Roman" w:hAnsi="Times New Roman" w:cs="Times New Roman"/>
                <w:sz w:val="24"/>
                <w:szCs w:val="24"/>
              </w:rPr>
              <w:t>7</w:t>
            </w:r>
          </w:p>
          <w:p w:rsidR="00BE0948" w:rsidRPr="00635D50" w:rsidRDefault="00BE0948" w:rsidP="00BE0948">
            <w:pPr>
              <w:pStyle w:val="ListParagraph"/>
              <w:numPr>
                <w:ilvl w:val="0"/>
                <w:numId w:val="10"/>
              </w:numPr>
              <w:rPr>
                <w:rFonts w:ascii="Times New Roman" w:hAnsi="Times New Roman" w:cs="Times New Roman"/>
                <w:sz w:val="24"/>
                <w:szCs w:val="24"/>
              </w:rPr>
            </w:pPr>
            <w:r w:rsidRPr="00635D50">
              <w:rPr>
                <w:rFonts w:ascii="Times New Roman" w:hAnsi="Times New Roman" w:cs="Times New Roman"/>
                <w:sz w:val="24"/>
                <w:szCs w:val="24"/>
              </w:rPr>
              <w:t>11/14/2018</w:t>
            </w:r>
          </w:p>
          <w:p w:rsidR="00BE0948" w:rsidRPr="00635D50" w:rsidRDefault="00BE0948" w:rsidP="00BE0948">
            <w:pPr>
              <w:pStyle w:val="ListParagraph"/>
              <w:numPr>
                <w:ilvl w:val="0"/>
                <w:numId w:val="10"/>
              </w:numPr>
              <w:rPr>
                <w:rFonts w:ascii="Times New Roman" w:hAnsi="Times New Roman" w:cs="Times New Roman"/>
                <w:sz w:val="24"/>
                <w:szCs w:val="24"/>
              </w:rPr>
            </w:pPr>
            <w:r w:rsidRPr="00635D50">
              <w:rPr>
                <w:rFonts w:ascii="Times New Roman" w:hAnsi="Times New Roman" w:cs="Times New Roman"/>
                <w:sz w:val="24"/>
                <w:szCs w:val="24"/>
              </w:rPr>
              <w:t>11/28/2018</w:t>
            </w:r>
          </w:p>
        </w:tc>
        <w:tc>
          <w:tcPr>
            <w:tcW w:w="4788" w:type="dxa"/>
          </w:tcPr>
          <w:p w:rsidR="00A81C90" w:rsidRPr="00635D50" w:rsidRDefault="00635D50" w:rsidP="00635D50">
            <w:pPr>
              <w:pStyle w:val="ListParagraph"/>
              <w:numPr>
                <w:ilvl w:val="0"/>
                <w:numId w:val="9"/>
              </w:numPr>
              <w:rPr>
                <w:rFonts w:ascii="Times New Roman" w:hAnsi="Times New Roman" w:cs="Times New Roman"/>
                <w:sz w:val="24"/>
                <w:szCs w:val="24"/>
              </w:rPr>
            </w:pPr>
            <w:r w:rsidRPr="00635D50">
              <w:rPr>
                <w:rFonts w:ascii="Times New Roman" w:hAnsi="Times New Roman" w:cs="Times New Roman"/>
                <w:sz w:val="24"/>
                <w:szCs w:val="24"/>
              </w:rPr>
              <w:t>5</w:t>
            </w:r>
            <w:r w:rsidR="00A81C90" w:rsidRPr="00635D50">
              <w:rPr>
                <w:rFonts w:ascii="Times New Roman" w:hAnsi="Times New Roman" w:cs="Times New Roman"/>
                <w:sz w:val="24"/>
                <w:szCs w:val="24"/>
              </w:rPr>
              <w:t>/8/201</w:t>
            </w:r>
            <w:r w:rsidRPr="00635D50">
              <w:rPr>
                <w:rFonts w:ascii="Times New Roman" w:hAnsi="Times New Roman" w:cs="Times New Roman"/>
                <w:sz w:val="24"/>
                <w:szCs w:val="24"/>
              </w:rPr>
              <w:t>8</w:t>
            </w:r>
          </w:p>
        </w:tc>
      </w:tr>
    </w:tbl>
    <w:p w:rsidR="00A81C90" w:rsidRPr="00635D50" w:rsidRDefault="00A81C90" w:rsidP="00A81C90">
      <w:pPr>
        <w:rPr>
          <w:sz w:val="24"/>
          <w:szCs w:val="24"/>
        </w:rPr>
      </w:pPr>
    </w:p>
    <w:p w:rsidR="00A81C90" w:rsidRPr="00635D50" w:rsidRDefault="00A81C90" w:rsidP="00A81C90">
      <w:pPr>
        <w:rPr>
          <w:sz w:val="24"/>
          <w:szCs w:val="24"/>
        </w:rPr>
      </w:pPr>
      <w:r w:rsidRPr="00635D50">
        <w:rPr>
          <w:b/>
          <w:sz w:val="24"/>
          <w:szCs w:val="24"/>
        </w:rPr>
        <w:t>Topics of Discussion</w:t>
      </w:r>
      <w:r w:rsidRPr="00635D50">
        <w:rPr>
          <w:sz w:val="24"/>
          <w:szCs w:val="24"/>
        </w:rPr>
        <w:t xml:space="preserve">  </w:t>
      </w:r>
    </w:p>
    <w:p w:rsidR="00A81C90" w:rsidRPr="00635D50" w:rsidRDefault="00A81C90" w:rsidP="00A81C90">
      <w:pPr>
        <w:rPr>
          <w:sz w:val="24"/>
          <w:szCs w:val="24"/>
        </w:rPr>
      </w:pPr>
      <w:r w:rsidRPr="00635D50">
        <w:rPr>
          <w:sz w:val="24"/>
          <w:szCs w:val="24"/>
        </w:rPr>
        <w:t>EPC discussed a variety of topics during the A</w:t>
      </w:r>
      <w:r w:rsidR="00635D50" w:rsidRPr="00635D50">
        <w:rPr>
          <w:sz w:val="24"/>
          <w:szCs w:val="24"/>
        </w:rPr>
        <w:t xml:space="preserve">cademic </w:t>
      </w:r>
      <w:r w:rsidRPr="00635D50">
        <w:rPr>
          <w:sz w:val="24"/>
          <w:szCs w:val="24"/>
        </w:rPr>
        <w:t>Y</w:t>
      </w:r>
      <w:r w:rsidR="00635D50" w:rsidRPr="00635D50">
        <w:rPr>
          <w:sz w:val="24"/>
          <w:szCs w:val="24"/>
        </w:rPr>
        <w:t>ear 17/18</w:t>
      </w:r>
      <w:r w:rsidRPr="00635D50">
        <w:rPr>
          <w:sz w:val="24"/>
          <w:szCs w:val="24"/>
        </w:rPr>
        <w:t xml:space="preserve">.  The committee also consulted with a variety of persons on campus, including the University Advising Center, the </w:t>
      </w:r>
      <w:r w:rsidR="00635D50" w:rsidRPr="00635D50">
        <w:rPr>
          <w:sz w:val="24"/>
          <w:szCs w:val="24"/>
        </w:rPr>
        <w:t xml:space="preserve">Academic </w:t>
      </w:r>
      <w:r w:rsidRPr="00635D50">
        <w:rPr>
          <w:sz w:val="24"/>
          <w:szCs w:val="24"/>
        </w:rPr>
        <w:t xml:space="preserve">Senate </w:t>
      </w:r>
      <w:r w:rsidR="00232BB0">
        <w:rPr>
          <w:sz w:val="24"/>
          <w:szCs w:val="24"/>
        </w:rPr>
        <w:t>Technology</w:t>
      </w:r>
      <w:r w:rsidRPr="00635D50">
        <w:rPr>
          <w:sz w:val="24"/>
          <w:szCs w:val="24"/>
        </w:rPr>
        <w:t xml:space="preserve"> Committee, the University Registrar</w:t>
      </w:r>
      <w:r w:rsidR="00232BB0">
        <w:rPr>
          <w:sz w:val="24"/>
          <w:szCs w:val="24"/>
        </w:rPr>
        <w:t>,</w:t>
      </w:r>
      <w:r w:rsidRPr="00635D50">
        <w:rPr>
          <w:sz w:val="24"/>
          <w:szCs w:val="24"/>
        </w:rPr>
        <w:t xml:space="preserve"> </w:t>
      </w:r>
      <w:r w:rsidR="00635D50" w:rsidRPr="00635D50">
        <w:rPr>
          <w:sz w:val="24"/>
          <w:szCs w:val="24"/>
        </w:rPr>
        <w:t>Admissions and Records, General Education Committee, and other campus representatives of the campus colleges</w:t>
      </w:r>
      <w:r w:rsidRPr="00635D50">
        <w:rPr>
          <w:sz w:val="24"/>
          <w:szCs w:val="24"/>
        </w:rPr>
        <w:t xml:space="preserve">.  Some of the topics </w:t>
      </w:r>
      <w:r w:rsidR="00635D50" w:rsidRPr="00635D50">
        <w:rPr>
          <w:sz w:val="24"/>
          <w:szCs w:val="24"/>
        </w:rPr>
        <w:t xml:space="preserve">discussed </w:t>
      </w:r>
      <w:r w:rsidRPr="00635D50">
        <w:rPr>
          <w:sz w:val="24"/>
          <w:szCs w:val="24"/>
        </w:rPr>
        <w:t xml:space="preserve">are listed below. </w:t>
      </w:r>
    </w:p>
    <w:p w:rsidR="00A81C90" w:rsidRPr="00635D50" w:rsidRDefault="00232BB0" w:rsidP="00A81C90">
      <w:pPr>
        <w:pStyle w:val="ListParagraph"/>
        <w:numPr>
          <w:ilvl w:val="0"/>
          <w:numId w:val="7"/>
        </w:numPr>
        <w:spacing w:after="200" w:line="276" w:lineRule="auto"/>
        <w:rPr>
          <w:sz w:val="24"/>
          <w:szCs w:val="24"/>
        </w:rPr>
      </w:pPr>
      <w:r>
        <w:rPr>
          <w:sz w:val="24"/>
          <w:szCs w:val="24"/>
        </w:rPr>
        <w:t>Hybrid and Distance course modality issues</w:t>
      </w:r>
    </w:p>
    <w:p w:rsidR="00A81C90" w:rsidRPr="00635D50" w:rsidRDefault="00232BB0" w:rsidP="00A81C90">
      <w:pPr>
        <w:pStyle w:val="ListParagraph"/>
        <w:numPr>
          <w:ilvl w:val="0"/>
          <w:numId w:val="7"/>
        </w:numPr>
        <w:spacing w:after="200" w:line="276" w:lineRule="auto"/>
        <w:rPr>
          <w:sz w:val="24"/>
          <w:szCs w:val="24"/>
        </w:rPr>
      </w:pPr>
      <w:r w:rsidRPr="00232BB0">
        <w:rPr>
          <w:sz w:val="24"/>
          <w:szCs w:val="24"/>
        </w:rPr>
        <w:t xml:space="preserve">Graduation Writing Assessment Requirement </w:t>
      </w:r>
      <w:r w:rsidR="00635D50" w:rsidRPr="00635D50">
        <w:rPr>
          <w:sz w:val="24"/>
          <w:szCs w:val="24"/>
        </w:rPr>
        <w:t>General Education Committee</w:t>
      </w:r>
      <w:r w:rsidR="00A81C90" w:rsidRPr="00635D50">
        <w:rPr>
          <w:sz w:val="24"/>
          <w:szCs w:val="24"/>
        </w:rPr>
        <w:t xml:space="preserve"> charge</w:t>
      </w:r>
    </w:p>
    <w:p w:rsidR="00A81C90" w:rsidRPr="00635D50" w:rsidRDefault="00A81C90" w:rsidP="00A81C90">
      <w:pPr>
        <w:pStyle w:val="ListParagraph"/>
        <w:numPr>
          <w:ilvl w:val="0"/>
          <w:numId w:val="7"/>
        </w:numPr>
        <w:spacing w:after="200" w:line="276" w:lineRule="auto"/>
        <w:rPr>
          <w:sz w:val="24"/>
          <w:szCs w:val="24"/>
        </w:rPr>
      </w:pPr>
      <w:r w:rsidRPr="00635D50">
        <w:rPr>
          <w:sz w:val="24"/>
          <w:szCs w:val="24"/>
        </w:rPr>
        <w:t>Syllabus requirements</w:t>
      </w:r>
    </w:p>
    <w:p w:rsidR="00A81C90" w:rsidRPr="00635D50" w:rsidRDefault="00635D50" w:rsidP="00A81C90">
      <w:pPr>
        <w:pStyle w:val="ListParagraph"/>
        <w:numPr>
          <w:ilvl w:val="0"/>
          <w:numId w:val="7"/>
        </w:numPr>
        <w:spacing w:after="200" w:line="276" w:lineRule="auto"/>
        <w:rPr>
          <w:sz w:val="24"/>
          <w:szCs w:val="24"/>
        </w:rPr>
      </w:pPr>
      <w:r w:rsidRPr="00635D50">
        <w:rPr>
          <w:sz w:val="24"/>
          <w:szCs w:val="24"/>
        </w:rPr>
        <w:t>Adherence to Executive Order 1100 and associated catalogue changes</w:t>
      </w:r>
    </w:p>
    <w:p w:rsidR="00A81C90" w:rsidRPr="00635D50" w:rsidRDefault="00635D50" w:rsidP="00A81C90">
      <w:pPr>
        <w:pStyle w:val="ListParagraph"/>
        <w:numPr>
          <w:ilvl w:val="0"/>
          <w:numId w:val="7"/>
        </w:numPr>
        <w:spacing w:after="200" w:line="276" w:lineRule="auto"/>
        <w:rPr>
          <w:sz w:val="24"/>
          <w:szCs w:val="24"/>
        </w:rPr>
      </w:pPr>
      <w:r w:rsidRPr="00635D50">
        <w:rPr>
          <w:sz w:val="24"/>
          <w:szCs w:val="24"/>
        </w:rPr>
        <w:t>Academic Administrative Graduation</w:t>
      </w:r>
    </w:p>
    <w:p w:rsidR="00A81C90" w:rsidRPr="00635D50" w:rsidRDefault="00635D50" w:rsidP="00A81C90">
      <w:pPr>
        <w:pStyle w:val="ListParagraph"/>
        <w:numPr>
          <w:ilvl w:val="0"/>
          <w:numId w:val="7"/>
        </w:numPr>
        <w:spacing w:after="200" w:line="276" w:lineRule="auto"/>
        <w:rPr>
          <w:sz w:val="24"/>
          <w:szCs w:val="24"/>
        </w:rPr>
      </w:pPr>
      <w:r w:rsidRPr="00635D50">
        <w:rPr>
          <w:sz w:val="24"/>
          <w:szCs w:val="24"/>
        </w:rPr>
        <w:lastRenderedPageBreak/>
        <w:t>Program Discontinuance</w:t>
      </w:r>
    </w:p>
    <w:p w:rsidR="00A81C90" w:rsidRPr="00635D50" w:rsidRDefault="00635D50" w:rsidP="00A81C90">
      <w:pPr>
        <w:pStyle w:val="ListParagraph"/>
        <w:numPr>
          <w:ilvl w:val="0"/>
          <w:numId w:val="7"/>
        </w:numPr>
        <w:spacing w:after="200" w:line="276" w:lineRule="auto"/>
        <w:rPr>
          <w:sz w:val="24"/>
          <w:szCs w:val="24"/>
        </w:rPr>
      </w:pPr>
      <w:r w:rsidRPr="00635D50">
        <w:rPr>
          <w:sz w:val="24"/>
          <w:szCs w:val="24"/>
        </w:rPr>
        <w:t>University and student learning outcomes as they relate to University strategic plans</w:t>
      </w:r>
    </w:p>
    <w:p w:rsidR="00A81C90" w:rsidRPr="00635D50" w:rsidRDefault="00A81C90" w:rsidP="00A81C90">
      <w:pPr>
        <w:rPr>
          <w:sz w:val="24"/>
          <w:szCs w:val="24"/>
        </w:rPr>
      </w:pPr>
      <w:r w:rsidRPr="00635D50">
        <w:rPr>
          <w:b/>
          <w:sz w:val="24"/>
          <w:szCs w:val="24"/>
        </w:rPr>
        <w:t>Resolutions</w:t>
      </w:r>
      <w:r w:rsidRPr="00635D50">
        <w:rPr>
          <w:sz w:val="24"/>
          <w:szCs w:val="24"/>
        </w:rPr>
        <w:t xml:space="preserve">  </w:t>
      </w:r>
    </w:p>
    <w:p w:rsidR="00A81C90" w:rsidRPr="00635D50" w:rsidRDefault="00A81C90" w:rsidP="00A81C90">
      <w:pPr>
        <w:rPr>
          <w:sz w:val="24"/>
          <w:szCs w:val="24"/>
        </w:rPr>
      </w:pPr>
      <w:r w:rsidRPr="00635D50">
        <w:rPr>
          <w:sz w:val="24"/>
          <w:szCs w:val="24"/>
        </w:rPr>
        <w:t xml:space="preserve">EPC wrote </w:t>
      </w:r>
      <w:r w:rsidR="00232BB0">
        <w:rPr>
          <w:sz w:val="24"/>
          <w:szCs w:val="24"/>
        </w:rPr>
        <w:t>six</w:t>
      </w:r>
      <w:r w:rsidRPr="00635D50">
        <w:rPr>
          <w:sz w:val="24"/>
          <w:szCs w:val="24"/>
        </w:rPr>
        <w:t xml:space="preserve"> policy proposals during AY 201</w:t>
      </w:r>
      <w:r w:rsidR="00232BB0">
        <w:rPr>
          <w:sz w:val="24"/>
          <w:szCs w:val="24"/>
        </w:rPr>
        <w:t>7</w:t>
      </w:r>
      <w:r w:rsidRPr="00635D50">
        <w:rPr>
          <w:sz w:val="24"/>
          <w:szCs w:val="24"/>
        </w:rPr>
        <w:t>/201</w:t>
      </w:r>
      <w:r w:rsidR="00232BB0">
        <w:rPr>
          <w:sz w:val="24"/>
          <w:szCs w:val="24"/>
        </w:rPr>
        <w:t>8</w:t>
      </w:r>
      <w:r w:rsidRPr="00635D50">
        <w:rPr>
          <w:sz w:val="24"/>
          <w:szCs w:val="24"/>
        </w:rPr>
        <w:t xml:space="preserve">.  </w:t>
      </w:r>
      <w:r w:rsidR="00232BB0">
        <w:rPr>
          <w:sz w:val="24"/>
          <w:szCs w:val="24"/>
        </w:rPr>
        <w:t>Four</w:t>
      </w:r>
      <w:r w:rsidRPr="00635D50">
        <w:rPr>
          <w:sz w:val="24"/>
          <w:szCs w:val="24"/>
        </w:rPr>
        <w:t xml:space="preserve"> were passed by the Academic Senate</w:t>
      </w:r>
      <w:r w:rsidR="00232BB0">
        <w:rPr>
          <w:sz w:val="24"/>
          <w:szCs w:val="24"/>
        </w:rPr>
        <w:t>; the two later proposals are currently expected to be read at the Academic Senate</w:t>
      </w:r>
    </w:p>
    <w:p w:rsidR="00FE031A" w:rsidRPr="00635D50" w:rsidRDefault="00FE031A" w:rsidP="00635D50">
      <w:pPr>
        <w:rPr>
          <w:sz w:val="24"/>
          <w:szCs w:val="24"/>
        </w:rPr>
      </w:pPr>
    </w:p>
    <w:p w:rsidR="00635D50" w:rsidRPr="00635D50" w:rsidRDefault="00635D50" w:rsidP="00635D50">
      <w:pPr>
        <w:rPr>
          <w:sz w:val="24"/>
          <w:szCs w:val="24"/>
        </w:rPr>
      </w:pPr>
      <w:r w:rsidRPr="00635D50">
        <w:rPr>
          <w:sz w:val="24"/>
          <w:szCs w:val="24"/>
        </w:rPr>
        <w:t>EPC 17-13</w:t>
      </w:r>
      <w:r w:rsidR="00232BB0">
        <w:rPr>
          <w:sz w:val="24"/>
          <w:szCs w:val="24"/>
        </w:rPr>
        <w:tab/>
      </w:r>
      <w:r w:rsidRPr="00635D50">
        <w:rPr>
          <w:sz w:val="24"/>
          <w:szCs w:val="24"/>
        </w:rPr>
        <w:t>Pathways to Satisfy the Graduation Writing Assessment Requirement</w:t>
      </w:r>
    </w:p>
    <w:p w:rsidR="00635D50" w:rsidRPr="00635D50" w:rsidRDefault="00635D50" w:rsidP="00232BB0">
      <w:pPr>
        <w:ind w:left="1440" w:hanging="1440"/>
        <w:rPr>
          <w:sz w:val="24"/>
          <w:szCs w:val="24"/>
        </w:rPr>
      </w:pPr>
      <w:r w:rsidRPr="00635D50">
        <w:rPr>
          <w:sz w:val="24"/>
          <w:szCs w:val="24"/>
        </w:rPr>
        <w:t xml:space="preserve">EPC 17-14 </w:t>
      </w:r>
      <w:r w:rsidR="00232BB0">
        <w:rPr>
          <w:sz w:val="24"/>
          <w:szCs w:val="24"/>
        </w:rPr>
        <w:tab/>
      </w:r>
      <w:r w:rsidRPr="00635D50">
        <w:rPr>
          <w:sz w:val="24"/>
          <w:szCs w:val="24"/>
        </w:rPr>
        <w:t>Forming a Task Force to Propose Policies and Requirements for Distance and Hybrid Courses</w:t>
      </w:r>
    </w:p>
    <w:p w:rsidR="00635D50" w:rsidRPr="00635D50" w:rsidRDefault="00635D50" w:rsidP="00635D50">
      <w:pPr>
        <w:rPr>
          <w:sz w:val="24"/>
          <w:szCs w:val="24"/>
        </w:rPr>
      </w:pPr>
      <w:r w:rsidRPr="00635D50">
        <w:rPr>
          <w:sz w:val="24"/>
          <w:szCs w:val="24"/>
        </w:rPr>
        <w:t xml:space="preserve">EPC 17-16 </w:t>
      </w:r>
      <w:r w:rsidR="00232BB0">
        <w:rPr>
          <w:sz w:val="24"/>
          <w:szCs w:val="24"/>
        </w:rPr>
        <w:tab/>
      </w:r>
      <w:r w:rsidRPr="00635D50">
        <w:rPr>
          <w:sz w:val="24"/>
          <w:szCs w:val="24"/>
        </w:rPr>
        <w:t>Resolution to Revise Educational Policy Committee (EPC) Charge</w:t>
      </w:r>
    </w:p>
    <w:p w:rsidR="00635D50" w:rsidRPr="00635D50" w:rsidRDefault="00635D50" w:rsidP="00635D50">
      <w:pPr>
        <w:rPr>
          <w:sz w:val="24"/>
          <w:szCs w:val="24"/>
        </w:rPr>
      </w:pPr>
      <w:r w:rsidRPr="00635D50">
        <w:rPr>
          <w:sz w:val="24"/>
          <w:szCs w:val="24"/>
        </w:rPr>
        <w:t xml:space="preserve">EPC 17-21 </w:t>
      </w:r>
      <w:r w:rsidR="00232BB0">
        <w:rPr>
          <w:sz w:val="24"/>
          <w:szCs w:val="24"/>
        </w:rPr>
        <w:tab/>
      </w:r>
      <w:r w:rsidRPr="00635D50">
        <w:rPr>
          <w:sz w:val="24"/>
          <w:szCs w:val="24"/>
        </w:rPr>
        <w:t>Revision of the General Education Committee Charge</w:t>
      </w:r>
    </w:p>
    <w:p w:rsidR="00635D50" w:rsidRPr="00635D50" w:rsidRDefault="00635D50" w:rsidP="00635D50">
      <w:pPr>
        <w:rPr>
          <w:sz w:val="24"/>
          <w:szCs w:val="24"/>
        </w:rPr>
      </w:pPr>
      <w:r w:rsidRPr="00635D50">
        <w:rPr>
          <w:sz w:val="24"/>
          <w:szCs w:val="24"/>
        </w:rPr>
        <w:t xml:space="preserve">EPC 18-06 </w:t>
      </w:r>
      <w:r w:rsidR="00232BB0">
        <w:rPr>
          <w:sz w:val="24"/>
          <w:szCs w:val="24"/>
        </w:rPr>
        <w:tab/>
      </w:r>
      <w:r w:rsidRPr="00635D50">
        <w:rPr>
          <w:sz w:val="24"/>
          <w:szCs w:val="24"/>
        </w:rPr>
        <w:t>General Education Changes to Area D to Meet E.O. 1100 Requirements</w:t>
      </w:r>
    </w:p>
    <w:p w:rsidR="00635D50" w:rsidRPr="00635D50" w:rsidRDefault="00635D50" w:rsidP="00635D50">
      <w:pPr>
        <w:rPr>
          <w:sz w:val="24"/>
          <w:szCs w:val="24"/>
        </w:rPr>
      </w:pPr>
      <w:r w:rsidRPr="00635D50">
        <w:rPr>
          <w:sz w:val="24"/>
          <w:szCs w:val="24"/>
        </w:rPr>
        <w:t xml:space="preserve">EPC 18-0X </w:t>
      </w:r>
      <w:r w:rsidR="00232BB0">
        <w:rPr>
          <w:sz w:val="24"/>
          <w:szCs w:val="24"/>
        </w:rPr>
        <w:tab/>
      </w:r>
      <w:r w:rsidRPr="00635D50">
        <w:rPr>
          <w:sz w:val="24"/>
          <w:szCs w:val="24"/>
        </w:rPr>
        <w:t>General Education Changes to Area A to Meet E.O. 1100 Requirements</w:t>
      </w:r>
    </w:p>
    <w:sectPr w:rsidR="00635D50" w:rsidRPr="00635D50" w:rsidSect="00355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BD5"/>
    <w:multiLevelType w:val="hybridMultilevel"/>
    <w:tmpl w:val="9922215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0804046"/>
    <w:multiLevelType w:val="hybridMultilevel"/>
    <w:tmpl w:val="A34ACD0C"/>
    <w:lvl w:ilvl="0" w:tplc="04090001">
      <w:start w:val="1"/>
      <w:numFmt w:val="bullet"/>
      <w:lvlText w:val=""/>
      <w:lvlJc w:val="left"/>
      <w:pPr>
        <w:ind w:left="8190" w:hanging="360"/>
      </w:pPr>
      <w:rPr>
        <w:rFonts w:ascii="Symbol" w:hAnsi="Symbol" w:hint="default"/>
      </w:rPr>
    </w:lvl>
    <w:lvl w:ilvl="1" w:tplc="04090003">
      <w:start w:val="1"/>
      <w:numFmt w:val="bullet"/>
      <w:lvlText w:val="o"/>
      <w:lvlJc w:val="left"/>
      <w:pPr>
        <w:ind w:left="8910" w:hanging="360"/>
      </w:pPr>
      <w:rPr>
        <w:rFonts w:ascii="Courier New" w:hAnsi="Courier New" w:cs="Courier New" w:hint="default"/>
      </w:rPr>
    </w:lvl>
    <w:lvl w:ilvl="2" w:tplc="04090005">
      <w:start w:val="1"/>
      <w:numFmt w:val="bullet"/>
      <w:lvlText w:val=""/>
      <w:lvlJc w:val="left"/>
      <w:pPr>
        <w:ind w:left="9630" w:hanging="360"/>
      </w:pPr>
      <w:rPr>
        <w:rFonts w:ascii="Wingdings" w:hAnsi="Wingdings" w:hint="default"/>
      </w:rPr>
    </w:lvl>
    <w:lvl w:ilvl="3" w:tplc="04090001">
      <w:start w:val="1"/>
      <w:numFmt w:val="bullet"/>
      <w:lvlText w:val=""/>
      <w:lvlJc w:val="left"/>
      <w:pPr>
        <w:ind w:left="10350" w:hanging="360"/>
      </w:pPr>
      <w:rPr>
        <w:rFonts w:ascii="Symbol" w:hAnsi="Symbol" w:hint="default"/>
      </w:rPr>
    </w:lvl>
    <w:lvl w:ilvl="4" w:tplc="04090003">
      <w:start w:val="1"/>
      <w:numFmt w:val="bullet"/>
      <w:lvlText w:val="o"/>
      <w:lvlJc w:val="left"/>
      <w:pPr>
        <w:ind w:left="11070" w:hanging="360"/>
      </w:pPr>
      <w:rPr>
        <w:rFonts w:ascii="Courier New" w:hAnsi="Courier New" w:cs="Courier New" w:hint="default"/>
      </w:rPr>
    </w:lvl>
    <w:lvl w:ilvl="5" w:tplc="04090005">
      <w:start w:val="1"/>
      <w:numFmt w:val="bullet"/>
      <w:lvlText w:val=""/>
      <w:lvlJc w:val="left"/>
      <w:pPr>
        <w:ind w:left="11790" w:hanging="360"/>
      </w:pPr>
      <w:rPr>
        <w:rFonts w:ascii="Wingdings" w:hAnsi="Wingdings" w:hint="default"/>
      </w:rPr>
    </w:lvl>
    <w:lvl w:ilvl="6" w:tplc="04090001">
      <w:start w:val="1"/>
      <w:numFmt w:val="bullet"/>
      <w:lvlText w:val=""/>
      <w:lvlJc w:val="left"/>
      <w:pPr>
        <w:ind w:left="12510" w:hanging="360"/>
      </w:pPr>
      <w:rPr>
        <w:rFonts w:ascii="Symbol" w:hAnsi="Symbol" w:hint="default"/>
      </w:rPr>
    </w:lvl>
    <w:lvl w:ilvl="7" w:tplc="04090003">
      <w:start w:val="1"/>
      <w:numFmt w:val="bullet"/>
      <w:lvlText w:val="o"/>
      <w:lvlJc w:val="left"/>
      <w:pPr>
        <w:ind w:left="13230" w:hanging="360"/>
      </w:pPr>
      <w:rPr>
        <w:rFonts w:ascii="Courier New" w:hAnsi="Courier New" w:cs="Courier New" w:hint="default"/>
      </w:rPr>
    </w:lvl>
    <w:lvl w:ilvl="8" w:tplc="04090005">
      <w:start w:val="1"/>
      <w:numFmt w:val="bullet"/>
      <w:lvlText w:val=""/>
      <w:lvlJc w:val="left"/>
      <w:pPr>
        <w:ind w:left="13950" w:hanging="360"/>
      </w:pPr>
      <w:rPr>
        <w:rFonts w:ascii="Wingdings" w:hAnsi="Wingdings" w:hint="default"/>
      </w:rPr>
    </w:lvl>
  </w:abstractNum>
  <w:abstractNum w:abstractNumId="2" w15:restartNumberingAfterBreak="0">
    <w:nsid w:val="23F52E43"/>
    <w:multiLevelType w:val="hybridMultilevel"/>
    <w:tmpl w:val="14CAF0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5380F3C"/>
    <w:multiLevelType w:val="hybridMultilevel"/>
    <w:tmpl w:val="61D2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57A64"/>
    <w:multiLevelType w:val="hybridMultilevel"/>
    <w:tmpl w:val="25EC43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4F71483"/>
    <w:multiLevelType w:val="hybridMultilevel"/>
    <w:tmpl w:val="3434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C5340"/>
    <w:multiLevelType w:val="hybridMultilevel"/>
    <w:tmpl w:val="EA0E9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731C30"/>
    <w:multiLevelType w:val="hybridMultilevel"/>
    <w:tmpl w:val="3830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33CE0"/>
    <w:multiLevelType w:val="hybridMultilevel"/>
    <w:tmpl w:val="F9164A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7BBA6716"/>
    <w:multiLevelType w:val="hybridMultilevel"/>
    <w:tmpl w:val="26E0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2"/>
  </w:num>
  <w:num w:numId="5">
    <w:abstractNumId w:val="6"/>
  </w:num>
  <w:num w:numId="6">
    <w:abstractNumId w:val="0"/>
  </w:num>
  <w:num w:numId="7">
    <w:abstractNumId w:val="9"/>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33"/>
    <w:rsid w:val="0000134E"/>
    <w:rsid w:val="00031EB7"/>
    <w:rsid w:val="000B568A"/>
    <w:rsid w:val="000D7337"/>
    <w:rsid w:val="000D76FA"/>
    <w:rsid w:val="000F5602"/>
    <w:rsid w:val="0011606E"/>
    <w:rsid w:val="00120822"/>
    <w:rsid w:val="0016722D"/>
    <w:rsid w:val="0017565C"/>
    <w:rsid w:val="00177BF1"/>
    <w:rsid w:val="00184FB1"/>
    <w:rsid w:val="001F0166"/>
    <w:rsid w:val="00205CA9"/>
    <w:rsid w:val="002070EB"/>
    <w:rsid w:val="00232BB0"/>
    <w:rsid w:val="00280A41"/>
    <w:rsid w:val="002E1340"/>
    <w:rsid w:val="0030370B"/>
    <w:rsid w:val="0031276F"/>
    <w:rsid w:val="003372BD"/>
    <w:rsid w:val="003550EC"/>
    <w:rsid w:val="00377982"/>
    <w:rsid w:val="00384024"/>
    <w:rsid w:val="003B3256"/>
    <w:rsid w:val="003F55FE"/>
    <w:rsid w:val="0048003A"/>
    <w:rsid w:val="004B2D80"/>
    <w:rsid w:val="004D24FE"/>
    <w:rsid w:val="004F208A"/>
    <w:rsid w:val="00522546"/>
    <w:rsid w:val="005460DA"/>
    <w:rsid w:val="0058092D"/>
    <w:rsid w:val="005A11A9"/>
    <w:rsid w:val="005C552C"/>
    <w:rsid w:val="00617138"/>
    <w:rsid w:val="00635D50"/>
    <w:rsid w:val="006516F2"/>
    <w:rsid w:val="006A70C8"/>
    <w:rsid w:val="006B0771"/>
    <w:rsid w:val="006B776A"/>
    <w:rsid w:val="0070481D"/>
    <w:rsid w:val="007109CC"/>
    <w:rsid w:val="00717D89"/>
    <w:rsid w:val="007414CF"/>
    <w:rsid w:val="00751BFB"/>
    <w:rsid w:val="007C5D53"/>
    <w:rsid w:val="007E5136"/>
    <w:rsid w:val="0080382F"/>
    <w:rsid w:val="00815FBB"/>
    <w:rsid w:val="008337E8"/>
    <w:rsid w:val="008B7724"/>
    <w:rsid w:val="008E4EEB"/>
    <w:rsid w:val="00925667"/>
    <w:rsid w:val="00926909"/>
    <w:rsid w:val="00936EC7"/>
    <w:rsid w:val="009473BF"/>
    <w:rsid w:val="00962A33"/>
    <w:rsid w:val="0097581D"/>
    <w:rsid w:val="009763A0"/>
    <w:rsid w:val="00981E28"/>
    <w:rsid w:val="009D631F"/>
    <w:rsid w:val="00A015A2"/>
    <w:rsid w:val="00A429DD"/>
    <w:rsid w:val="00A431F2"/>
    <w:rsid w:val="00A81C90"/>
    <w:rsid w:val="00AB0CF7"/>
    <w:rsid w:val="00AE2CE4"/>
    <w:rsid w:val="00AF188F"/>
    <w:rsid w:val="00AF7458"/>
    <w:rsid w:val="00B32CC4"/>
    <w:rsid w:val="00B37478"/>
    <w:rsid w:val="00B41BF1"/>
    <w:rsid w:val="00B50768"/>
    <w:rsid w:val="00BA5475"/>
    <w:rsid w:val="00BE0948"/>
    <w:rsid w:val="00C02BBE"/>
    <w:rsid w:val="00C7788C"/>
    <w:rsid w:val="00CC5623"/>
    <w:rsid w:val="00CE5983"/>
    <w:rsid w:val="00CF2B71"/>
    <w:rsid w:val="00D71D16"/>
    <w:rsid w:val="00D97210"/>
    <w:rsid w:val="00D97725"/>
    <w:rsid w:val="00E633EC"/>
    <w:rsid w:val="00E7329B"/>
    <w:rsid w:val="00EB285D"/>
    <w:rsid w:val="00F23D4A"/>
    <w:rsid w:val="00F34C43"/>
    <w:rsid w:val="00F51B28"/>
    <w:rsid w:val="00FE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E8884-863A-4E45-844E-5B238608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2A33"/>
    <w:pPr>
      <w:tabs>
        <w:tab w:val="center" w:pos="4320"/>
        <w:tab w:val="right" w:pos="8640"/>
      </w:tabs>
      <w:spacing w:line="240" w:lineRule="auto"/>
    </w:pPr>
    <w:rPr>
      <w:rFonts w:eastAsia="Times New Roman"/>
      <w:sz w:val="24"/>
      <w:szCs w:val="24"/>
    </w:rPr>
  </w:style>
  <w:style w:type="character" w:customStyle="1" w:styleId="HeaderChar">
    <w:name w:val="Header Char"/>
    <w:basedOn w:val="DefaultParagraphFont"/>
    <w:link w:val="Header"/>
    <w:uiPriority w:val="99"/>
    <w:rsid w:val="00962A33"/>
    <w:rPr>
      <w:rFonts w:eastAsia="Times New Roman"/>
      <w:sz w:val="24"/>
      <w:szCs w:val="24"/>
    </w:rPr>
  </w:style>
  <w:style w:type="paragraph" w:styleId="ListParagraph">
    <w:name w:val="List Paragraph"/>
    <w:basedOn w:val="Normal"/>
    <w:uiPriority w:val="34"/>
    <w:qFormat/>
    <w:rsid w:val="00962A33"/>
    <w:pPr>
      <w:ind w:left="720"/>
      <w:contextualSpacing/>
    </w:pPr>
  </w:style>
  <w:style w:type="character" w:styleId="PlaceholderText">
    <w:name w:val="Placeholder Text"/>
    <w:basedOn w:val="DefaultParagraphFont"/>
    <w:uiPriority w:val="99"/>
    <w:semiHidden/>
    <w:rsid w:val="007C5D53"/>
    <w:rPr>
      <w:color w:val="808080"/>
    </w:rPr>
  </w:style>
  <w:style w:type="character" w:styleId="CommentReference">
    <w:name w:val="annotation reference"/>
    <w:basedOn w:val="DefaultParagraphFont"/>
    <w:uiPriority w:val="99"/>
    <w:semiHidden/>
    <w:unhideWhenUsed/>
    <w:rsid w:val="003F55FE"/>
    <w:rPr>
      <w:sz w:val="16"/>
      <w:szCs w:val="16"/>
    </w:rPr>
  </w:style>
  <w:style w:type="paragraph" w:styleId="CommentText">
    <w:name w:val="annotation text"/>
    <w:basedOn w:val="Normal"/>
    <w:link w:val="CommentTextChar"/>
    <w:uiPriority w:val="99"/>
    <w:semiHidden/>
    <w:unhideWhenUsed/>
    <w:rsid w:val="003F55FE"/>
    <w:pPr>
      <w:spacing w:line="240" w:lineRule="auto"/>
    </w:pPr>
    <w:rPr>
      <w:sz w:val="20"/>
      <w:szCs w:val="20"/>
    </w:rPr>
  </w:style>
  <w:style w:type="character" w:customStyle="1" w:styleId="CommentTextChar">
    <w:name w:val="Comment Text Char"/>
    <w:basedOn w:val="DefaultParagraphFont"/>
    <w:link w:val="CommentText"/>
    <w:uiPriority w:val="99"/>
    <w:semiHidden/>
    <w:rsid w:val="003F55FE"/>
    <w:rPr>
      <w:sz w:val="20"/>
      <w:szCs w:val="20"/>
    </w:rPr>
  </w:style>
  <w:style w:type="paragraph" w:styleId="CommentSubject">
    <w:name w:val="annotation subject"/>
    <w:basedOn w:val="CommentText"/>
    <w:next w:val="CommentText"/>
    <w:link w:val="CommentSubjectChar"/>
    <w:uiPriority w:val="99"/>
    <w:semiHidden/>
    <w:unhideWhenUsed/>
    <w:rsid w:val="003F55FE"/>
    <w:rPr>
      <w:b/>
      <w:bCs/>
    </w:rPr>
  </w:style>
  <w:style w:type="character" w:customStyle="1" w:styleId="CommentSubjectChar">
    <w:name w:val="Comment Subject Char"/>
    <w:basedOn w:val="CommentTextChar"/>
    <w:link w:val="CommentSubject"/>
    <w:uiPriority w:val="99"/>
    <w:semiHidden/>
    <w:rsid w:val="003F55FE"/>
    <w:rPr>
      <w:b/>
      <w:bCs/>
      <w:sz w:val="20"/>
      <w:szCs w:val="20"/>
    </w:rPr>
  </w:style>
  <w:style w:type="paragraph" w:styleId="BalloonText">
    <w:name w:val="Balloon Text"/>
    <w:basedOn w:val="Normal"/>
    <w:link w:val="BalloonTextChar"/>
    <w:uiPriority w:val="99"/>
    <w:semiHidden/>
    <w:unhideWhenUsed/>
    <w:rsid w:val="003F55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5FE"/>
    <w:rPr>
      <w:rFonts w:ascii="Segoe UI" w:hAnsi="Segoe UI" w:cs="Segoe UI"/>
      <w:sz w:val="18"/>
      <w:szCs w:val="18"/>
    </w:rPr>
  </w:style>
  <w:style w:type="table" w:styleId="TableGrid">
    <w:name w:val="Table Grid"/>
    <w:basedOn w:val="TableNormal"/>
    <w:uiPriority w:val="59"/>
    <w:rsid w:val="00A81C90"/>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Walker</dc:creator>
  <cp:keywords/>
  <dc:description/>
  <cp:lastModifiedBy>Susanne Walker</cp:lastModifiedBy>
  <cp:revision>2</cp:revision>
  <cp:lastPrinted>2017-11-14T22:38:00Z</cp:lastPrinted>
  <dcterms:created xsi:type="dcterms:W3CDTF">2018-07-11T19:50:00Z</dcterms:created>
  <dcterms:modified xsi:type="dcterms:W3CDTF">2018-07-11T19:50:00Z</dcterms:modified>
</cp:coreProperties>
</file>